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/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  <w:t xml:space="preserve">Общественным советом 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  <w:t xml:space="preserve">при министерстве экономического развития 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ДОКЛАД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об антимонопольном комплаенсе министерства 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экономического развития Новосибирской области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за 202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spacing w:val="-10"/>
          <w:sz w:val="40"/>
          <w:szCs w:val="40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. Общие положения.</w:t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системы внутреннего обеспечения соответствия требованиям антимонопольного законодательства (далее – а</w:t>
      </w:r>
      <w:r>
        <w:rPr>
          <w:rFonts w:ascii="Times New Roman" w:hAnsi="Times New Roman" w:cs="Times New Roman"/>
          <w:sz w:val="28"/>
          <w:szCs w:val="28"/>
        </w:rPr>
        <w:t xml:space="preserve">нтимонопольный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комплаенс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(далее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26.07.2006 № </w:t>
      </w:r>
      <w:r>
        <w:rPr>
          <w:rFonts w:ascii="Times New Roman" w:hAnsi="Times New Roman" w:cs="Times New Roman"/>
          <w:sz w:val="28"/>
          <w:szCs w:val="28"/>
        </w:rPr>
        <w:t xml:space="preserve">135-ФЗ «О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конкуренции»;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Указо</w:t>
      </w:r>
      <w:r>
        <w:rPr>
          <w:rFonts w:ascii="Times New Roman" w:hAnsi="Times New Roman" w:cs="Times New Roman"/>
          <w:sz w:val="28"/>
          <w:szCs w:val="28"/>
        </w:rPr>
        <w:t xml:space="preserve">м Президента РФ от 21.12.2017 № </w:t>
      </w:r>
      <w:r>
        <w:rPr>
          <w:rFonts w:ascii="Times New Roman" w:hAnsi="Times New Roman" w:cs="Times New Roman"/>
          <w:sz w:val="28"/>
          <w:szCs w:val="28"/>
        </w:rPr>
        <w:t xml:space="preserve">618 </w:t>
      </w:r>
      <w:r>
        <w:rPr>
          <w:rFonts w:ascii="Times New Roman" w:hAnsi="Times New Roman" w:cs="Times New Roman"/>
          <w:sz w:val="28"/>
          <w:szCs w:val="28"/>
        </w:rPr>
        <w:t xml:space="preserve">«Об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по развит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ю конкуренции»;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</w:t>
      </w:r>
      <w:r>
        <w:rPr>
          <w:rFonts w:ascii="Times New Roman" w:hAnsi="Times New Roman" w:cs="Times New Roman"/>
          <w:sz w:val="28"/>
          <w:szCs w:val="28"/>
        </w:rPr>
        <w:t xml:space="preserve">18.10.2018 № </w:t>
      </w:r>
      <w:r>
        <w:rPr>
          <w:rFonts w:ascii="Times New Roman" w:hAnsi="Times New Roman" w:cs="Times New Roman"/>
          <w:sz w:val="28"/>
          <w:szCs w:val="28"/>
        </w:rPr>
        <w:t xml:space="preserve"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распоряжением Правительства РФ от 17.04.2019 № 768-р «Об утверждении стандарта развития конкуренции в субъектах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 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26.12.2018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268-р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01.02.2019 № </w:t>
      </w:r>
      <w:r>
        <w:rPr>
          <w:rFonts w:ascii="Times New Roman" w:hAnsi="Times New Roman" w:cs="Times New Roman"/>
          <w:sz w:val="28"/>
          <w:szCs w:val="28"/>
        </w:rPr>
        <w:t xml:space="preserve">21 «О системе внутреннего обеспечения соответствия требованиям антимонопольного законодательства деятельности министерства экономическог</w:t>
      </w:r>
      <w:r>
        <w:rPr>
          <w:rFonts w:ascii="Times New Roman" w:hAnsi="Times New Roman" w:cs="Times New Roman"/>
          <w:sz w:val="28"/>
          <w:szCs w:val="28"/>
        </w:rPr>
        <w:t xml:space="preserve">о Новосибирской области» (далее</w:t>
      </w:r>
      <w:r>
        <w:rPr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антимонопольном комплаенсе)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Положени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полномоченными структурными подразделениями, осуществляющими внедрение и функционирование антимонопольного комплаенса в министерстве,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отдел программ территориального развития экономики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территориального развития экономики министерства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отдел территорий);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 правового обеспечения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финансовой,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организационной работы министерства.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министерстве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реализован комплекс мероприятий, предусмотренных Положением об антимонопольном комплаенсе, направленных на выявление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оценку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рисков нарушения министерством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комплаенс-рисков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именно: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 анализ полномочий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предусмотренных Положением о министерстве экономического развития Новосибирской области, утвержденн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Правите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льства Новосибирской области от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01.11.2016 № 360-п «О министерстве экономического развития Новосибирской области», в ходе которого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полномочия, при осуществлении которых действия органа власти могут препятствовать осуществлению деятельности хозяйствующих субъектов и создавать дискриминационные условия деятельности хозяйствующих субъектов;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направлены запросы в структурные подразделения министерства и проанализированы поступившие от них предложения о наиболее вероятных нарушениях антимонопольного законодательства;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запрошены и проанализированы сведения от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Управления Федеральной антимонопольной службы по Новосибирской области 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УФАС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России)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нарушениях антимонопольного законодательства областными исполнительными органами государственной власти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утверждена карта рисков нарушений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(комплаенс-рисков) в деятельности министерства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год;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сформированы и утверждены ключевые показатели оценки эффективности функционирования антимонопол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комплаенса в министерстве;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 план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снижению рисков нарушения антимоноп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ольного законодательства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Отделом территорий организовано размещение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правовых актов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информационных и методических материалов по вопросам внедрения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исполнения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антимонопольного комплаенса на официальном сайте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hyperlink r:id="rId10" w:tooltip="http://econom.nso.ru/page/3087" w:history="1">
        <w:r>
          <w:rPr>
            <w:rStyle w:val="874"/>
            <w:rFonts w:ascii="Times New Roman" w:hAnsi="Times New Roman" w:cs="Times New Roman"/>
            <w:sz w:val="28"/>
            <w:szCs w:val="28"/>
            <w:highlight w:val="white"/>
          </w:rPr>
          <w:t xml:space="preserve">http://econom.nso.ru/page/3087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инвестиционном портале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hyperlink r:id="rId11" w:tooltip="http://invest.nso.ru/ru/page/3897" w:history="1">
        <w:r>
          <w:rPr>
            <w:rStyle w:val="874"/>
            <w:rFonts w:ascii="Times New Roman" w:hAnsi="Times New Roman" w:cs="Times New Roman"/>
            <w:sz w:val="28"/>
            <w:szCs w:val="28"/>
            <w:highlight w:val="white"/>
          </w:rPr>
          <w:t xml:space="preserve">http://invest.nso.ru/ru/page/3897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Отделом правового обеспечения в течение года осуществлялось своевременное информирование министра экономического развития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внутренних документах, которые могут повлечь нарушение антимонопольного законодательства. В ходе подготовки проектов нормативных правовых актов, соглашений, договоров и иных документов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было организовано консультирование сотрудников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являющихся их разработчиками,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вопросам, связанным с соблюдением антимонопольного законодательства и антимонопольным комплаенсом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финансовой,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организационной работы проведено информирование сотрудников, принятых на работу в министерство, о необходимости соблюдения антимонопольного законодательства.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 Информация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 результатах проведенн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ой оценки комплаенс-рисков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антимонопольного комп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аенс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уполномоченными структурными подразделениями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течени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следующие мероприятия: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ыявление и анализ выявленных нарушений антимонопольного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законодательства в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инистерства за предыдущие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года;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нализ нормативн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нализ проектов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ормативно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инистерства;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ониторинг и анализ практики применения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анализ антиконкурентных региональных практик, опубликованных в «черных» книгах, сформированных 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 России.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проведении правовой и антикоррупционной экспертиз проектов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правовых актов министерства отде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лом правового обеспечения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году особое внимание уделялось вопросам недопущения ограничения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конкуренции. За указанный период отделом правового обеспечения был проведен анализ 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  <w:shd w:val="clear" w:color="auto" w:fill="ffffff" w:themeFill="background1"/>
        </w:rPr>
        <w:t xml:space="preserve">45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правовых актов министерства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. А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ктов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 ограничивающих конкуренцию либо свидетельствующих об иных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формах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выявлено не было.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периоды размещения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министерства на официальном сайте министерства в ГИС «Электронная демократия Новосибирской области» в информационно-телекоммуникационной сети «Интернет»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амечаний и предложений в части нарушени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антимонопольного законодательства не поступа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тделом правового обеспечения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в 202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3 году осуществлял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ось проведение антикоррупционной экспертизы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, в том числе на предмет соответствия антимонопольному законодательству,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ранее изданных правовых актов в целях приведения их в соответствие с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действующим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законодательств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ом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Российской Федерации.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отчетном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году Прокуратурой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проводилась проверка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законности деятельности министерства, действий  должностных лиц министерства по исполнению требований федерального законодательства.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результате проверки выявлены нарушения сроков предоставления инвесторами  отчетов о реализации инвестиционных проектов, установленные постановлением Правительства Новосибирской области от 19.03.2014 № 104-п</w:t>
      </w:r>
      <w:bookmarkStart w:id="0" w:name="_GoBack"/>
      <w:r>
        <w:rPr>
          <w:rFonts w:ascii="Times New Roman" w:hAnsi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целях устранения нарушений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принято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28.11.2023 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544-п «О внесении изменений в постановление Правительства Новосибирской области от 19.03.2014 № 104-п»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дополняющее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осуществления контроля за эффективностью мер государственной поддержки инвес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тиционной деятельности и ходом реализации инвестиционных проектов на территории Новосибирской области положениями, регулирующими порядок действий министерства в случае нарушения инвесторами срока сдачи отчетов о реализации инвестиционных проектов.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УФАС России предостережений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предупрежде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жалоб не поступало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дел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административных правонарушениях в сфере антимонопольного законодательства 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возбуждали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 определены следующие показатели оценки эффективности функционирования антимонопольного комплаенса в министерстве: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4"/>
        <w:ind w:right="142" w:firstLine="567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bidi="ar-SA"/>
        </w:rPr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tbl>
      <w:tblPr>
        <w:tblStyle w:val="866"/>
        <w:tblW w:w="5000" w:type="pct"/>
        <w:tblLook w:val="04A0" w:firstRow="1" w:lastRow="0" w:firstColumn="1" w:lastColumn="0" w:noHBand="0" w:noVBand="1"/>
      </w:tblPr>
      <w:tblGrid>
        <w:gridCol w:w="6039"/>
        <w:gridCol w:w="3589"/>
      </w:tblGrid>
      <w:tr>
        <w:tblPrEx/>
        <w:trPr/>
        <w:tc>
          <w:tcPr>
            <w:shd w:val="clear" w:color="auto" w:fill="auto"/>
            <w:tcW w:w="313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Доля прое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864" w:type="pct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313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Доля нормативных правовых актов министерства,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864" w:type="pct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13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Доля сотрудников министерства, в отношении которых были проведены обучающие мероприятия по антимонопольному законодательству и (или) антимонопольному комплаенсу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864" w:type="pct"/>
            <w:textDirection w:val="lrTb"/>
            <w:noWrap w:val="false"/>
          </w:tcPr>
          <w:p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142" w:firstLine="0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val="en-US" w:eastAsia="ru-RU"/>
        </w:rPr>
        <w:t xml:space="preserve">III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eastAsia="ru-RU"/>
        </w:rPr>
        <w:t xml:space="preserve">. Выводы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</w:p>
    <w:p>
      <w:pPr>
        <w:ind w:right="142" w:firstLine="567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При формировании перечня комплаенс-рисков необходи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мо учесть такие факторы как сфера (направление) деятельности министерства, в которой может быть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 определении уровня риска необходимо учесть факторы, которые способствуют/препятствуют совершению нарушени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антимонопольного законодательства.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целях снижения вероятности наступления комплаенс-рисков необходимо разработать план мероприятий по снижению комплаенс-рисков министерства,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содержащ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ий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конкретные мероприятия, необходимые для устранения выявлен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ных рисков,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разрезе каждого комплаенс-риска.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3428673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6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7"/>
    <w:link w:val="860"/>
    <w:uiPriority w:val="99"/>
  </w:style>
  <w:style w:type="character" w:styleId="711">
    <w:name w:val="Footer Char"/>
    <w:basedOn w:val="857"/>
    <w:link w:val="862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2"/>
    <w:uiPriority w:val="99"/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Header"/>
    <w:basedOn w:val="856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7"/>
    <w:link w:val="860"/>
    <w:uiPriority w:val="99"/>
  </w:style>
  <w:style w:type="paragraph" w:styleId="862">
    <w:name w:val="Footer"/>
    <w:basedOn w:val="856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7"/>
    <w:link w:val="862"/>
    <w:uiPriority w:val="99"/>
  </w:style>
  <w:style w:type="paragraph" w:styleId="864">
    <w:name w:val="Body Text"/>
    <w:basedOn w:val="856"/>
    <w:link w:val="865"/>
    <w:uiPriority w:val="1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7"/>
      <w:szCs w:val="27"/>
      <w:lang w:eastAsia="ru-RU" w:bidi="ru-RU"/>
    </w:rPr>
  </w:style>
  <w:style w:type="character" w:styleId="865" w:customStyle="1">
    <w:name w:val="Основной текст Знак"/>
    <w:basedOn w:val="857"/>
    <w:link w:val="864"/>
    <w:uiPriority w:val="1"/>
    <w:rPr>
      <w:rFonts w:ascii="Times New Roman" w:hAnsi="Times New Roman" w:eastAsia="Times New Roman" w:cs="Times New Roman"/>
      <w:sz w:val="27"/>
      <w:szCs w:val="27"/>
      <w:lang w:eastAsia="ru-RU" w:bidi="ru-RU"/>
    </w:rPr>
  </w:style>
  <w:style w:type="table" w:styleId="866">
    <w:name w:val="Table Grid"/>
    <w:basedOn w:val="85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7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8">
    <w:name w:val="annotation text"/>
    <w:basedOn w:val="856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857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  <w:sz w:val="20"/>
      <w:szCs w:val="20"/>
    </w:rPr>
  </w:style>
  <w:style w:type="paragraph" w:styleId="872">
    <w:name w:val="Balloon Text"/>
    <w:basedOn w:val="856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57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>
    <w:name w:val="Hyperlink"/>
    <w:basedOn w:val="857"/>
    <w:uiPriority w:val="99"/>
    <w:unhideWhenUsed/>
    <w:rPr>
      <w:color w:val="0000ff" w:themeColor="hyperlink"/>
      <w:u w:val="single"/>
    </w:rPr>
  </w:style>
  <w:style w:type="character" w:styleId="875">
    <w:name w:val="FollowedHyperlink"/>
    <w:basedOn w:val="85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econom.nso.ru/page/3087" TargetMode="External"/><Relationship Id="rId11" Type="http://schemas.openxmlformats.org/officeDocument/2006/relationships/hyperlink" Target="http://invest.nso.ru/ru/page/389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95C8-BA1E-4293-B063-6DB5719B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Екатерина Александровна</dc:creator>
  <cp:keywords/>
  <dc:description/>
  <cp:revision>10</cp:revision>
  <dcterms:created xsi:type="dcterms:W3CDTF">2023-02-16T07:46:00Z</dcterms:created>
  <dcterms:modified xsi:type="dcterms:W3CDTF">2024-02-14T07:19:25Z</dcterms:modified>
</cp:coreProperties>
</file>