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uppressLineNumbers w:val="0"/>
        <w:ind w:firstLine="0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  <w:t xml:space="preserve">Информация к докладу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suppressLineNumbers w:val="0"/>
        <w:ind w:firstLine="0"/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  <w:t xml:space="preserve">по вопросу 1 повестки «</w:t>
      </w:r>
      <w:r>
        <w:rPr>
          <w:b/>
          <w:bCs/>
        </w:rPr>
        <w:t xml:space="preserve">Об организации работы по сокращению неэффективных муниципальных унитарных предприятий в сферах жилищно-коммунального хозяйства, транспорта и дорожного хозяйства</w:t>
      </w:r>
      <w:r>
        <w:rPr>
          <w:b/>
          <w:bCs/>
        </w:rPr>
        <w:t xml:space="preserve">»</w:t>
      </w:r>
      <w:r>
        <w:rPr>
          <w:b/>
          <w:bCs/>
          <w:highlight w:val="none"/>
        </w:rPr>
        <w:t xml:space="preserve"> </w:t>
      </w:r>
      <w:r>
        <w:rPr>
          <w:b/>
          <w:bCs/>
        </w:rPr>
        <w:t xml:space="preserve">заседания Совета по содействию развитию конкуренции в Новосибирской области</w:t>
      </w:r>
      <w:r>
        <w:rPr>
          <w:b/>
          <w:bCs/>
        </w:rPr>
      </w:r>
      <w:r>
        <w:rPr>
          <w:b/>
          <w:bCs/>
        </w:rPr>
      </w:r>
    </w:p>
    <w:p>
      <w:pPr>
        <w:suppressLineNumbers w:val="0"/>
        <w:ind w:firstLine="0"/>
        <w:jc w:val="center"/>
        <w:rPr>
          <w:b/>
          <w:bCs/>
          <w:highlight w:val="none"/>
        </w:rPr>
      </w:pPr>
      <w:r>
        <w:rPr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suppressLineNumbers w:val="0"/>
        <w:ind w:firstLine="0"/>
        <w:jc w:val="left"/>
        <w:rPr>
          <w:b w:val="0"/>
          <w:bCs w:val="0"/>
          <w:highlight w:val="none"/>
        </w:rPr>
      </w:pPr>
      <w:r>
        <w:t xml:space="preserve">1</w:t>
      </w:r>
      <w:r>
        <w:rPr>
          <w:b w:val="0"/>
          <w:bCs w:val="0"/>
        </w:rPr>
        <w:t xml:space="preserve">4 декабря 2023 года </w:t>
        <w:tab/>
        <w:tab/>
        <w:tab/>
        <w:tab/>
        <w:tab/>
        <w:tab/>
        <w:tab/>
        <w:tab/>
        <w:tab/>
        <w:t xml:space="preserve">   11.00</w:t>
      </w:r>
      <w:r>
        <w:rPr>
          <w:b w:val="0"/>
          <w:bCs w:val="0"/>
          <w:highlight w:val="none"/>
        </w:rPr>
        <w:t xml:space="preserve"> час.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suppressLineNumbers w:val="0"/>
        <w:ind w:firstLine="709"/>
        <w:jc w:val="both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suppressLineNumbers w:val="0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В основном в регионе коммунальные предприятия являются многоотраслевыми </w:t>
      </w:r>
      <w:r>
        <w:rPr>
          <w:highlight w:val="none"/>
        </w:rPr>
        <w:t xml:space="preserve">и осуществляют деятельность </w:t>
      </w:r>
      <w:r>
        <w:t xml:space="preserve">в сферах теплоснабжения, водоснабжения и водоотведения</w:t>
      </w:r>
      <w:r>
        <w:rPr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uppressLineNumbers w:val="0"/>
        <w:ind w:firstLine="709"/>
        <w:jc w:val="both"/>
        <w:rPr>
          <w:highlight w:val="none"/>
        </w:rPr>
      </w:pPr>
      <w:r>
        <w:rPr>
          <w:b/>
          <w:bCs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За период с 1 июля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2017 года по 1 мая 2023 года при реализации областного закона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от 31.01.2017 № 137-ОЗ о передаче</w:t>
      </w:r>
      <w:r>
        <w:rPr>
          <w:rFonts w:ascii="Times New Roman" w:hAnsi="Times New Roman"/>
          <w:sz w:val="28"/>
          <w:szCs w:val="28"/>
        </w:rPr>
        <w:t xml:space="preserve"> полномочий сельских поселений на уровень районов Новосибирской области </w:t>
      </w:r>
      <w:r>
        <w:rPr>
          <w:rFonts w:ascii="Times New Roman" w:hAnsi="Times New Roman"/>
          <w:sz w:val="28"/>
          <w:szCs w:val="28"/>
        </w:rPr>
        <w:t xml:space="preserve">общее количество муниципальных предприятий коммунального комплекса, посредств</w:t>
      </w:r>
      <w:r>
        <w:rPr>
          <w:rFonts w:ascii="Times New Roman" w:hAnsi="Times New Roman"/>
          <w:sz w:val="28"/>
          <w:szCs w:val="28"/>
        </w:rPr>
        <w:t xml:space="preserve">ом укрупнения, сократилось с 330 до </w:t>
      </w:r>
      <w:r>
        <w:rPr>
          <w:rFonts w:ascii="Times New Roman" w:hAnsi="Times New Roman"/>
          <w:sz w:val="28"/>
          <w:szCs w:val="28"/>
        </w:rPr>
        <w:t xml:space="preserve">132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suppressLineNumbers w:val="0"/>
        <w:ind w:firstLine="709"/>
        <w:jc w:val="both"/>
        <w:rPr>
          <w:highlight w:val="white"/>
        </w:rPr>
      </w:pPr>
      <w:r>
        <w:rPr>
          <w:highlight w:val="none"/>
        </w:rPr>
        <w:t xml:space="preserve">В связи с общей неэффективностью систем теплоснабжения, водоснабжения и водоотведения, ростом цен на уголь (за два года на 40%), </w:t>
      </w:r>
      <w:r>
        <w:rPr>
          <w:highlight w:val="none"/>
        </w:rPr>
        <w:t xml:space="preserve">наличием ограничений в тарифном </w:t>
      </w:r>
      <w:r>
        <w:rPr>
          <w:highlight w:val="white"/>
        </w:rPr>
        <w:t xml:space="preserve">регулировании</w:t>
      </w:r>
      <w:r>
        <w:rPr>
          <w:highlight w:val="white"/>
        </w:rPr>
        <w:t xml:space="preserve"> муниципальным образованиям Новосибирской области</w:t>
      </w:r>
      <w:r>
        <w:rPr>
          <w:highlight w:val="none"/>
        </w:rPr>
        <w:t xml:space="preserve"> </w:t>
      </w:r>
      <w:r>
        <w:rPr>
          <w:highlight w:val="white"/>
        </w:rPr>
      </w:r>
      <w:r>
        <w:rPr>
          <w:highlight w:val="none"/>
        </w:rPr>
      </w:r>
      <w:r>
        <w:rPr>
          <w:highlight w:val="none"/>
        </w:rPr>
        <w:t xml:space="preserve">д</w:t>
      </w:r>
      <w:r>
        <w:rPr>
          <w:highlight w:val="white"/>
        </w:rPr>
        <w:t xml:space="preserve">ля поддержания деятельности</w:t>
      </w:r>
      <w:r>
        <w:rPr>
          <w:highlight w:val="white"/>
        </w:rPr>
        <w:t xml:space="preserve"> коммунальных предприятий</w:t>
      </w:r>
      <w:r>
        <w:rPr>
          <w:highlight w:val="white"/>
        </w:rPr>
        <w:t xml:space="preserve"> ежегодно выделяется субсидия из областного бюджета Новосибирской области на приобретение топлива и погашение задолженности за топливно-энергетические ресурсы (газ, уголь, электроэнергия)</w:t>
      </w:r>
      <w:r>
        <w:rPr>
          <w:highlight w:val="white"/>
        </w:rPr>
        <w:t xml:space="preserve">.</w:t>
      </w:r>
      <w:r>
        <w:rPr>
          <w:highlight w:val="none"/>
        </w:rPr>
      </w:r>
      <w:r>
        <w:rPr>
          <w:highlight w:val="none"/>
        </w:rPr>
      </w:r>
      <w:r>
        <w:rPr>
          <w:highlight w:val="white"/>
        </w:rPr>
      </w:r>
    </w:p>
    <w:p>
      <w:pPr>
        <w:suppressLineNumbers w:val="0"/>
        <w:ind w:firstLine="709"/>
        <w:jc w:val="both"/>
        <w:rPr>
          <w:highlight w:val="none"/>
        </w:rPr>
      </w:pPr>
      <w:r>
        <w:rPr>
          <w:highlight w:val="white"/>
        </w:rPr>
        <w:t xml:space="preserve">Так в 2023 году субсидия составила 2 млрд 900 млн рублей, что на 12 </w:t>
      </w:r>
      <w:r>
        <w:rPr>
          <w:highlight w:val="white"/>
        </w:rPr>
        <w:t xml:space="preserve">%</w:t>
      </w:r>
      <w:r>
        <w:rPr>
          <w:highlight w:val="white"/>
        </w:rPr>
        <w:t xml:space="preserve"> выше предоставленной в 2022 году </w:t>
      </w:r>
      <w:r>
        <w:rPr>
          <w:highlight w:val="white"/>
        </w:rPr>
        <w:t xml:space="preserve">(2 млрд 600 млн рублей)</w:t>
      </w:r>
      <w:r>
        <w:rPr>
          <w:highlight w:val="whit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В целях повышения финансовой дисциплины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муниципальных коммунальных предприятий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Губернатором Новосибирской области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дано поручение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муниципальным районам Новосибирской области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провести оптимизацию управления муниципальным коммунальным комплексом, 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в том числе путем реорганизации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 муниципальных унитарных предприятий в муниципальные бюджетные учреждения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.</w:t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  <w:t xml:space="preserve">Кроме того, на территории региона реализуется механизм муниципального частного партнерства (концессии) с целью привлечения частных инвестиций в модернизацию систем тепло- и водоснабжения. </w:t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  <w:t xml:space="preserve">Так на сегодняшний день в регионе действуют 24 концессионных соглашения. В 2023 году заключено 9 концессий в сфере тепло- и водоснабжения на территории г. Новосибирска, г. Обь, Чановского, Северного, Краснозерского, Венгеровского и Новосибирского районов.</w:t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Дополнительно, муниципальные унитарные предприятия, осуществляющие деятельность в сфере обращения с твердыми коммунальными отходами планируют начать процедуру реорганизации в акционерные общества в соответствии </w:t>
        <w:br/>
        <w:t xml:space="preserve">с требованиями Федерального закон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а от 27.12.2019 № 485-ФЗ «О внесении изменений в Федеральный закон «О государственных и муниципальных унитарных предприятиях» и Федеральный закон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 </w:t>
      </w:r>
      <w:r>
        <w:rPr>
          <w:b w:val="0"/>
          <w:bCs w:val="0"/>
          <w:sz w:val="28"/>
          <w:szCs w:val="28"/>
          <w:highlight w:val="none"/>
          <w:lang w:eastAsia="en-US"/>
        </w:rPr>
        <w:t xml:space="preserve">«О защите конкуренции»: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МУП г. Новосибирска «Спецавтохозяйство» в срок до 31.12.2023;</w:t>
      </w:r>
      <w:r>
        <w:rPr>
          <w:b w:val="0"/>
          <w:bCs w:val="0"/>
          <w:sz w:val="28"/>
          <w:szCs w:val="28"/>
          <w:highlight w:val="none"/>
          <w:lang w:eastAsia="en-US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</w:rPr>
        <w:t xml:space="preserve">МУП «СпецАвтоХозяйство» (г. Бердск) в срок до 30.11.2024.</w:t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p>
      <w:pPr>
        <w:spacing w:after="0" w:afterAutospacing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b w:val="0"/>
          <w:bCs w:val="0"/>
          <w:i/>
          <w:iCs/>
          <w:sz w:val="28"/>
          <w:szCs w:val="28"/>
          <w:highlight w:val="none"/>
          <w:lang w:eastAsia="en-US"/>
          <w14:ligatures w14:val="none"/>
        </w:rPr>
        <w:t xml:space="preserve">*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  <w:t xml:space="preserve">Министерством жилищно-коммунального хозяйства и энергетики Новосибирской области (далее - министерство) проведена работа с муниципальными образованиями Новосибирской области о необходимости внесения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 муниципальных унитарных предприятий в реестр естественных монополий.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</w:p>
    <w:p>
      <w:pPr>
        <w:spacing w:after="0" w:afterAutospacing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Муниципальные унитарные предприятия, 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относящиеся к субъектам естественных монополий в соответствии со статьёй 35.1. 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Федерального закона от 26.07.2006 № 135-ФЗ «О защите конкуренции»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 ликвидации не подлежат.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ind w:firstLine="709"/>
        <w:jc w:val="both"/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pP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  <w:r>
        <w:rPr>
          <w:b w:val="0"/>
          <w:bCs w:val="0"/>
          <w:sz w:val="28"/>
          <w:szCs w:val="28"/>
          <w:highlight w:val="none"/>
          <w:lang w:eastAsia="en-US"/>
          <w14:ligatures w14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283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2 Char"/>
    <w:basedOn w:val="695"/>
    <w:link w:val="687"/>
    <w:uiPriority w:val="9"/>
    <w:rPr>
      <w:rFonts w:ascii="Arial" w:hAnsi="Arial" w:eastAsia="Arial" w:cs="Arial"/>
      <w:sz w:val="34"/>
    </w:rPr>
  </w:style>
  <w:style w:type="character" w:styleId="671">
    <w:name w:val="Heading 3 Char"/>
    <w:basedOn w:val="695"/>
    <w:link w:val="688"/>
    <w:uiPriority w:val="9"/>
    <w:rPr>
      <w:rFonts w:ascii="Arial" w:hAnsi="Arial" w:eastAsia="Arial" w:cs="Arial"/>
      <w:sz w:val="30"/>
      <w:szCs w:val="30"/>
    </w:rPr>
  </w:style>
  <w:style w:type="character" w:styleId="672">
    <w:name w:val="Heading 4 Char"/>
    <w:basedOn w:val="695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673">
    <w:name w:val="Heading 5 Char"/>
    <w:basedOn w:val="69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674">
    <w:name w:val="Heading 6 Char"/>
    <w:basedOn w:val="695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675">
    <w:name w:val="Heading 7 Char"/>
    <w:basedOn w:val="69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6">
    <w:name w:val="Heading 8 Char"/>
    <w:basedOn w:val="695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677">
    <w:name w:val="Heading 9 Char"/>
    <w:basedOn w:val="69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character" w:styleId="678">
    <w:name w:val="Title Char"/>
    <w:basedOn w:val="695"/>
    <w:link w:val="709"/>
    <w:uiPriority w:val="10"/>
    <w:rPr>
      <w:sz w:val="48"/>
      <w:szCs w:val="48"/>
    </w:rPr>
  </w:style>
  <w:style w:type="character" w:styleId="679">
    <w:name w:val="Subtitle Char"/>
    <w:basedOn w:val="695"/>
    <w:link w:val="711"/>
    <w:uiPriority w:val="11"/>
    <w:rPr>
      <w:sz w:val="24"/>
      <w:szCs w:val="24"/>
    </w:rPr>
  </w:style>
  <w:style w:type="character" w:styleId="680">
    <w:name w:val="Quote Char"/>
    <w:link w:val="713"/>
    <w:uiPriority w:val="29"/>
    <w:rPr>
      <w:i/>
    </w:rPr>
  </w:style>
  <w:style w:type="character" w:styleId="681">
    <w:name w:val="Intense Quote Char"/>
    <w:link w:val="715"/>
    <w:uiPriority w:val="30"/>
    <w:rPr>
      <w:i/>
    </w:rPr>
  </w:style>
  <w:style w:type="character" w:styleId="682">
    <w:name w:val="Caption Char"/>
    <w:basedOn w:val="721"/>
    <w:link w:val="719"/>
    <w:uiPriority w:val="99"/>
  </w:style>
  <w:style w:type="character" w:styleId="683">
    <w:name w:val="Footnote Text Char"/>
    <w:link w:val="850"/>
    <w:uiPriority w:val="99"/>
    <w:rPr>
      <w:sz w:val="18"/>
    </w:rPr>
  </w:style>
  <w:style w:type="character" w:styleId="684">
    <w:name w:val="Endnote Text Char"/>
    <w:link w:val="853"/>
    <w:uiPriority w:val="99"/>
    <w:rPr>
      <w:sz w:val="20"/>
    </w:rPr>
  </w:style>
  <w:style w:type="paragraph" w:styleId="685" w:default="1">
    <w:name w:val="Normal"/>
    <w:qFormat/>
    <w:rPr>
      <w:rFonts w:ascii="Times New Roman" w:hAnsi="Times New Roman" w:eastAsia="Times New Roman"/>
      <w:sz w:val="28"/>
      <w:szCs w:val="28"/>
      <w:lang w:eastAsia="ru-RU"/>
    </w:rPr>
  </w:style>
  <w:style w:type="paragraph" w:styleId="686">
    <w:name w:val="Heading 1"/>
    <w:basedOn w:val="685"/>
    <w:next w:val="685"/>
    <w:link w:val="874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687">
    <w:name w:val="Heading 2"/>
    <w:basedOn w:val="685"/>
    <w:next w:val="685"/>
    <w:link w:val="69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8">
    <w:name w:val="Heading 3"/>
    <w:basedOn w:val="685"/>
    <w:next w:val="685"/>
    <w:link w:val="70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9">
    <w:name w:val="Heading 4"/>
    <w:basedOn w:val="685"/>
    <w:next w:val="685"/>
    <w:link w:val="70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685"/>
    <w:next w:val="685"/>
    <w:link w:val="70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685"/>
    <w:next w:val="685"/>
    <w:link w:val="70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685"/>
    <w:next w:val="685"/>
    <w:link w:val="704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685"/>
    <w:next w:val="685"/>
    <w:link w:val="70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685"/>
    <w:next w:val="685"/>
    <w:link w:val="706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character" w:styleId="69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link w:val="687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link w:val="688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link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link w:val="690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link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link w:val="693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85"/>
    <w:uiPriority w:val="34"/>
    <w:qFormat/>
    <w:pPr>
      <w:ind w:left="720"/>
      <w:contextualSpacing/>
    </w:pPr>
  </w:style>
  <w:style w:type="paragraph" w:styleId="708">
    <w:name w:val="No Spacing"/>
    <w:uiPriority w:val="1"/>
    <w:qFormat/>
  </w:style>
  <w:style w:type="paragraph" w:styleId="709">
    <w:name w:val="Title"/>
    <w:basedOn w:val="685"/>
    <w:next w:val="685"/>
    <w:link w:val="71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10" w:customStyle="1">
    <w:name w:val="Заголовок Знак"/>
    <w:link w:val="709"/>
    <w:uiPriority w:val="10"/>
    <w:rPr>
      <w:sz w:val="48"/>
      <w:szCs w:val="48"/>
    </w:rPr>
  </w:style>
  <w:style w:type="paragraph" w:styleId="711">
    <w:name w:val="Subtitle"/>
    <w:basedOn w:val="685"/>
    <w:next w:val="68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 w:customStyle="1">
    <w:name w:val="Подзаголовок Знак"/>
    <w:link w:val="711"/>
    <w:uiPriority w:val="11"/>
    <w:rPr>
      <w:sz w:val="24"/>
      <w:szCs w:val="24"/>
    </w:rPr>
  </w:style>
  <w:style w:type="paragraph" w:styleId="713">
    <w:name w:val="Quote"/>
    <w:basedOn w:val="685"/>
    <w:next w:val="685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85"/>
    <w:next w:val="685"/>
    <w:link w:val="71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paragraph" w:styleId="717">
    <w:name w:val="Header"/>
    <w:basedOn w:val="685"/>
    <w:link w:val="867"/>
    <w:uiPriority w:val="99"/>
    <w:pPr>
      <w:tabs>
        <w:tab w:val="center" w:pos="4153" w:leader="none"/>
        <w:tab w:val="right" w:pos="8306" w:leader="none"/>
      </w:tabs>
    </w:pPr>
  </w:style>
  <w:style w:type="character" w:styleId="718" w:customStyle="1">
    <w:name w:val="Header Char"/>
    <w:uiPriority w:val="99"/>
  </w:style>
  <w:style w:type="paragraph" w:styleId="719">
    <w:name w:val="Footer"/>
    <w:basedOn w:val="685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0" w:customStyle="1">
    <w:name w:val="Footer Char"/>
    <w:uiPriority w:val="99"/>
  </w:style>
  <w:style w:type="paragraph" w:styleId="721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 w:customStyle="1">
    <w:name w:val="Нижний колонтитул Знак"/>
    <w:link w:val="719"/>
    <w:uiPriority w:val="99"/>
  </w:style>
  <w:style w:type="table" w:styleId="723">
    <w:name w:val="Table Grid"/>
    <w:basedOn w:val="696"/>
    <w:tblPr/>
  </w:style>
  <w:style w:type="table" w:styleId="724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0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8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1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3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4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5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6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7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8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59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0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61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2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3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4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5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7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8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9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0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3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4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5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6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7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8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779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6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7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8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9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0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2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3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4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5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6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7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</w:style>
  <w:style w:type="table" w:styleId="828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0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1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2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3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4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5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7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8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9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0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1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2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4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5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6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7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8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9">
    <w:name w:val="Hyperlink"/>
    <w:uiPriority w:val="99"/>
    <w:rPr>
      <w:rFonts w:cs="Times New Roman"/>
      <w:color w:val="0000ff"/>
      <w:u w:val="single"/>
    </w:rPr>
  </w:style>
  <w:style w:type="paragraph" w:styleId="850">
    <w:name w:val="footnote text"/>
    <w:basedOn w:val="685"/>
    <w:link w:val="851"/>
    <w:uiPriority w:val="99"/>
    <w:semiHidden/>
    <w:unhideWhenUsed/>
    <w:pPr>
      <w:spacing w:after="40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uiPriority w:val="99"/>
    <w:unhideWhenUsed/>
    <w:rPr>
      <w:vertAlign w:val="superscript"/>
    </w:rPr>
  </w:style>
  <w:style w:type="paragraph" w:styleId="853">
    <w:name w:val="endnote text"/>
    <w:basedOn w:val="685"/>
    <w:link w:val="854"/>
    <w:uiPriority w:val="99"/>
    <w:semiHidden/>
    <w:unhideWhenUsed/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uiPriority w:val="99"/>
    <w:semiHidden/>
    <w:unhideWhenUsed/>
    <w:rPr>
      <w:vertAlign w:val="superscript"/>
    </w:rPr>
  </w:style>
  <w:style w:type="paragraph" w:styleId="856">
    <w:name w:val="toc 1"/>
    <w:basedOn w:val="685"/>
    <w:next w:val="685"/>
    <w:uiPriority w:val="39"/>
    <w:unhideWhenUsed/>
    <w:pPr>
      <w:spacing w:after="57"/>
    </w:pPr>
  </w:style>
  <w:style w:type="paragraph" w:styleId="857">
    <w:name w:val="toc 2"/>
    <w:basedOn w:val="685"/>
    <w:next w:val="685"/>
    <w:uiPriority w:val="39"/>
    <w:unhideWhenUsed/>
    <w:pPr>
      <w:spacing w:after="57"/>
      <w:ind w:left="283"/>
    </w:pPr>
  </w:style>
  <w:style w:type="paragraph" w:styleId="858">
    <w:name w:val="toc 3"/>
    <w:basedOn w:val="685"/>
    <w:next w:val="685"/>
    <w:uiPriority w:val="39"/>
    <w:unhideWhenUsed/>
    <w:pPr>
      <w:spacing w:after="57"/>
      <w:ind w:left="567"/>
    </w:pPr>
  </w:style>
  <w:style w:type="paragraph" w:styleId="859">
    <w:name w:val="toc 4"/>
    <w:basedOn w:val="685"/>
    <w:next w:val="685"/>
    <w:uiPriority w:val="39"/>
    <w:unhideWhenUsed/>
    <w:pPr>
      <w:spacing w:after="57"/>
      <w:ind w:left="850"/>
    </w:pPr>
  </w:style>
  <w:style w:type="paragraph" w:styleId="860">
    <w:name w:val="toc 5"/>
    <w:basedOn w:val="685"/>
    <w:next w:val="685"/>
    <w:uiPriority w:val="39"/>
    <w:unhideWhenUsed/>
    <w:pPr>
      <w:spacing w:after="57"/>
      <w:ind w:left="1134"/>
    </w:pPr>
  </w:style>
  <w:style w:type="paragraph" w:styleId="861">
    <w:name w:val="toc 6"/>
    <w:basedOn w:val="685"/>
    <w:next w:val="685"/>
    <w:uiPriority w:val="39"/>
    <w:unhideWhenUsed/>
    <w:pPr>
      <w:spacing w:after="57"/>
      <w:ind w:left="1417"/>
    </w:pPr>
  </w:style>
  <w:style w:type="paragraph" w:styleId="862">
    <w:name w:val="toc 7"/>
    <w:basedOn w:val="685"/>
    <w:next w:val="685"/>
    <w:uiPriority w:val="39"/>
    <w:unhideWhenUsed/>
    <w:pPr>
      <w:spacing w:after="57"/>
      <w:ind w:left="1701"/>
    </w:pPr>
  </w:style>
  <w:style w:type="paragraph" w:styleId="863">
    <w:name w:val="toc 8"/>
    <w:basedOn w:val="685"/>
    <w:next w:val="685"/>
    <w:uiPriority w:val="39"/>
    <w:unhideWhenUsed/>
    <w:pPr>
      <w:spacing w:after="57"/>
      <w:ind w:left="1984"/>
    </w:pPr>
  </w:style>
  <w:style w:type="paragraph" w:styleId="864">
    <w:name w:val="toc 9"/>
    <w:basedOn w:val="685"/>
    <w:next w:val="685"/>
    <w:uiPriority w:val="39"/>
    <w:unhideWhenUsed/>
    <w:pPr>
      <w:spacing w:after="57"/>
      <w:ind w:left="2268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85"/>
    <w:next w:val="685"/>
    <w:uiPriority w:val="99"/>
    <w:unhideWhenUsed/>
  </w:style>
  <w:style w:type="character" w:styleId="867" w:customStyle="1">
    <w:name w:val="Верхний колонтитул Знак"/>
    <w:link w:val="71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68">
    <w:name w:val="Body Text 2"/>
    <w:basedOn w:val="685"/>
    <w:link w:val="869"/>
    <w:pPr>
      <w:ind w:firstLine="720"/>
      <w:jc w:val="both"/>
    </w:pPr>
    <w:rPr>
      <w:szCs w:val="20"/>
    </w:rPr>
  </w:style>
  <w:style w:type="character" w:styleId="869" w:customStyle="1">
    <w:name w:val="Основной текст 2 Знак"/>
    <w:link w:val="868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70">
    <w:name w:val="Body Text 3"/>
    <w:basedOn w:val="685"/>
    <w:link w:val="871"/>
    <w:uiPriority w:val="99"/>
    <w:pPr>
      <w:jc w:val="center"/>
    </w:pPr>
    <w:rPr>
      <w:b/>
      <w:bCs/>
    </w:rPr>
  </w:style>
  <w:style w:type="character" w:styleId="871" w:customStyle="1">
    <w:name w:val="Основной текст 3 Знак"/>
    <w:link w:val="870"/>
    <w:uiPriority w:val="99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872">
    <w:name w:val="Balloon Text"/>
    <w:basedOn w:val="685"/>
    <w:link w:val="873"/>
    <w:uiPriority w:val="99"/>
    <w:semiHidden/>
    <w:unhideWhenUsed/>
    <w:rPr>
      <w:rFonts w:ascii="Tahoma" w:hAnsi="Tahoma" w:cs="Tahoma"/>
      <w:sz w:val="16"/>
      <w:szCs w:val="16"/>
    </w:rPr>
  </w:style>
  <w:style w:type="character" w:styleId="873" w:customStyle="1">
    <w:name w:val="Текст выноски Знак"/>
    <w:link w:val="87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4" w:customStyle="1">
    <w:name w:val="Заголовок 1 Знак"/>
    <w:link w:val="686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875" w:customStyle="1">
    <w:name w:val="gwt-inlinelabel"/>
  </w:style>
  <w:style w:type="character" w:styleId="876">
    <w:name w:val="Strong"/>
    <w:uiPriority w:val="22"/>
    <w:qFormat/>
    <w:rPr>
      <w:rFonts w:cs="Times New Roman"/>
      <w:b/>
      <w:bCs/>
    </w:rPr>
  </w:style>
  <w:style w:type="paragraph" w:styleId="877" w:customStyle="1">
    <w:name w:val="docdata"/>
    <w:basedOn w:val="685"/>
    <w:pPr>
      <w:spacing w:before="100" w:beforeAutospacing="1" w:after="100" w:afterAutospacing="1"/>
    </w:pPr>
    <w:rPr>
      <w:sz w:val="24"/>
      <w:szCs w:val="24"/>
    </w:rPr>
  </w:style>
  <w:style w:type="paragraph" w:styleId="878">
    <w:name w:val="Normal (Web)"/>
    <w:basedOn w:val="685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character" w:styleId="879" w:customStyle="1">
    <w:name w:val="1644"/>
  </w:style>
  <w:style w:type="paragraph" w:styleId="880" w:customStyle="1">
    <w:name w:val="Default"/>
    <w:next w:val="872"/>
    <w:link w:val="855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24</cp:revision>
  <dcterms:created xsi:type="dcterms:W3CDTF">2023-04-28T04:36:00Z</dcterms:created>
  <dcterms:modified xsi:type="dcterms:W3CDTF">2023-12-14T04:57:25Z</dcterms:modified>
  <cp:version>1048576</cp:version>
</cp:coreProperties>
</file>