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Доклад на заседание Совета по содействию развитию конкуренции в Новосибирской области об организации работы по сокращению неэффективных муниципальных унитарных предприятий в сфере транспорта и дорожного хозяйства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before="0" w:after="0"/>
        <w:ind w:left="0" w:right="0"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Во исполнение норм законодательства, </w:t>
      </w:r>
      <w:r>
        <w:rPr>
          <w:b w:val="0"/>
          <w:bCs w:val="0"/>
          <w:sz w:val="28"/>
          <w:szCs w:val="28"/>
          <w:highlight w:val="none"/>
        </w:rPr>
        <w:t xml:space="preserve">направленных на </w:t>
      </w:r>
      <w:r>
        <w:rPr>
          <w:b w:val="0"/>
          <w:bCs w:val="0"/>
          <w:sz w:val="28"/>
          <w:szCs w:val="28"/>
          <w:highlight w:val="none"/>
        </w:rPr>
        <w:t xml:space="preserve">пресечение </w:t>
      </w:r>
      <w:r>
        <w:rPr>
          <w:b w:val="0"/>
          <w:bCs w:val="0"/>
          <w:sz w:val="28"/>
          <w:szCs w:val="28"/>
          <w:highlight w:val="none"/>
        </w:rPr>
        <w:t xml:space="preserve">монополистической деятельности и недобросовестной конкуренции</w:t>
      </w:r>
      <w:r>
        <w:rPr>
          <w:b w:val="0"/>
          <w:bCs w:val="0"/>
          <w:sz w:val="28"/>
          <w:szCs w:val="28"/>
          <w:highlight w:val="none"/>
        </w:rPr>
        <w:t xml:space="preserve"> (Федеральный закон от 26.07.2006 № 135-ФЗ </w:t>
      </w:r>
      <w:r>
        <w:rPr>
          <w:b w:val="0"/>
          <w:bCs w:val="0"/>
          <w:sz w:val="28"/>
          <w:szCs w:val="28"/>
          <w:highlight w:val="none"/>
        </w:rPr>
        <w:t xml:space="preserve">«О защите конкуренции»)</w:t>
      </w:r>
      <w:r>
        <w:rPr>
          <w:b w:val="0"/>
          <w:bCs w:val="0"/>
          <w:sz w:val="28"/>
          <w:szCs w:val="28"/>
          <w:highlight w:val="none"/>
        </w:rPr>
        <w:t xml:space="preserve">, а также</w:t>
      </w:r>
      <w:r>
        <w:rPr>
          <w:b w:val="0"/>
          <w:bCs w:val="0"/>
          <w:sz w:val="28"/>
          <w:szCs w:val="28"/>
          <w:highlight w:val="none"/>
        </w:rPr>
        <w:t xml:space="preserve"> законодательства об унитарных предприятиях на конкурентных рынках, подлежащ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их</w:t>
      </w:r>
      <w:r>
        <w:rPr>
          <w:rFonts w:ascii="PT Astra Serif" w:hAnsi="PT Astra Serif" w:cs="PT Astra Serif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Astra Serif" w:hAnsi="PT Astra Serif" w:eastAsia="Calibri" w:cs="PT Astra Serif"/>
          <w:color w:val="000000" w:themeColor="text1"/>
          <w:sz w:val="28"/>
          <w:szCs w:val="28"/>
        </w:rPr>
        <w:t xml:space="preserve">ликвидации или реорганизации до 01.01.2025</w:t>
      </w:r>
      <w:r>
        <w:rPr>
          <w:rFonts w:ascii="PT Astra Serif" w:hAnsi="PT Astra Serif" w:eastAsia="Calibri" w:cs="PT Astra Serif"/>
          <w:color w:val="000000" w:themeColor="text1"/>
          <w:sz w:val="28"/>
          <w:szCs w:val="28"/>
        </w:rPr>
        <w:t xml:space="preserve">  </w:t>
      </w:r>
      <w:r>
        <w:rPr>
          <w:rFonts w:ascii="PT Astra Serif" w:hAnsi="PT Astra Serif" w:eastAsia="Calibri" w:cs="PT Astra Serif"/>
          <w:color w:val="000000" w:themeColor="text1"/>
          <w:sz w:val="28"/>
          <w:szCs w:val="28"/>
        </w:rPr>
        <w:t xml:space="preserve">(с</w:t>
      </w:r>
      <w:r>
        <w:rPr>
          <w:rFonts w:ascii="PT Astra Serif" w:hAnsi="PT Astra Serif" w:eastAsia="Calibri" w:cs="PT Astra Serif"/>
          <w:color w:val="000000" w:themeColor="text1"/>
          <w:sz w:val="28"/>
          <w:szCs w:val="28"/>
        </w:rPr>
        <w:t xml:space="preserve">т</w:t>
      </w:r>
      <w:r>
        <w:rPr>
          <w:rFonts w:ascii="PT Astra Serif" w:hAnsi="PT Astra Serif" w:eastAsia="Calibri" w:cs="PT Astra Serif"/>
          <w:color w:val="000000" w:themeColor="text1"/>
          <w:sz w:val="28"/>
          <w:szCs w:val="28"/>
        </w:rPr>
        <w:t xml:space="preserve">. 3 ФЗ от 27.12.2019 № 485-ФЗ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PT Astra Serif" w:hAnsi="PT Astra Serif" w:eastAsia="Calibri" w:cs="PT Astra Serif"/>
          <w:color w:val="000000" w:themeColor="text1"/>
          <w:sz w:val="28"/>
          <w:szCs w:val="28"/>
        </w:rPr>
        <w:t xml:space="preserve">о внесении изменений </w:t>
      </w:r>
      <w:r>
        <w:rPr>
          <w:rFonts w:ascii="PT Astra Serif" w:hAnsi="PT Astra Serif" w:eastAsia="Calibri" w:cs="PT Astra Serif"/>
          <w:color w:val="000000" w:themeColor="text1"/>
          <w:sz w:val="28"/>
          <w:szCs w:val="28"/>
        </w:rPr>
        <w:t xml:space="preserve">в федеральный закон «о государственных и муниципальных </w:t>
      </w:r>
      <w:r>
        <w:rPr>
          <w:rFonts w:ascii="PT Astra Serif" w:hAnsi="PT Astra Serif" w:eastAsia="Calibri" w:cs="PT Astra Serif"/>
          <w:color w:val="000000" w:themeColor="text1"/>
          <w:sz w:val="28"/>
          <w:szCs w:val="28"/>
        </w:rPr>
        <w:t xml:space="preserve">унитарных предприятиях» и федеральный закон </w:t>
      </w:r>
      <w:r>
        <w:rPr>
          <w:rFonts w:ascii="PT Astra Serif" w:hAnsi="PT Astra Serif" w:eastAsia="Calibri" w:cs="PT Astra Serif"/>
          <w:color w:val="000000" w:themeColor="text1"/>
          <w:sz w:val="28"/>
          <w:szCs w:val="28"/>
        </w:rPr>
        <w:t xml:space="preserve">«о защите конкуренции»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),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п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о состоянию на конец 202</w:t>
      </w:r>
      <w:r>
        <w:rPr>
          <w:b w:val="0"/>
          <w:bCs w:val="0"/>
          <w:sz w:val="28"/>
          <w:szCs w:val="28"/>
          <w:highlight w:val="none"/>
        </w:rPr>
        <w:t xml:space="preserve">3 года </w:t>
      </w:r>
      <w:r>
        <w:rPr>
          <w:b w:val="0"/>
          <w:bCs w:val="0"/>
          <w:sz w:val="28"/>
          <w:szCs w:val="28"/>
          <w:highlight w:val="none"/>
        </w:rPr>
        <w:t xml:space="preserve">в Новосибирской области реорганизовано </w:t>
      </w:r>
      <w:r>
        <w:rPr>
          <w:b/>
          <w:bCs/>
          <w:sz w:val="28"/>
          <w:szCs w:val="28"/>
          <w:highlight w:val="none"/>
        </w:rPr>
        <w:t xml:space="preserve">13</w:t>
      </w:r>
      <w:r>
        <w:rPr>
          <w:b w:val="0"/>
          <w:bCs w:val="0"/>
          <w:sz w:val="28"/>
          <w:szCs w:val="28"/>
          <w:highlight w:val="none"/>
        </w:rPr>
        <w:t xml:space="preserve"> муниципальных унитарных транспортных предприятия, из них 2 предприятия в г. Новосибирске, 11 в муниципальных районах (Венгеровский, Здвинский, Кочковский, Краснозерский, Куйбышевский, Маслянинский, Татарский, Усть-Таркский, Чановский, Чулымский районы). </w:t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8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До конца 2024</w:t>
      </w:r>
      <w:r>
        <w:rPr>
          <w:b w:val="0"/>
          <w:bCs w:val="0"/>
          <w:sz w:val="28"/>
          <w:szCs w:val="28"/>
          <w:highlight w:val="none"/>
        </w:rPr>
        <w:t xml:space="preserve"> года графиками проведения мероприятий по преобразованию муниципальных предприятий, утвержденными администрациями городских округов и муниципальных районов, запланировано преобразование еще </w:t>
      </w:r>
      <w:r>
        <w:rPr>
          <w:b/>
          <w:bCs/>
          <w:sz w:val="28"/>
          <w:szCs w:val="28"/>
          <w:highlight w:val="none"/>
        </w:rPr>
        <w:t xml:space="preserve">семи</w:t>
      </w:r>
      <w:r>
        <w:rPr>
          <w:b w:val="0"/>
          <w:bCs w:val="0"/>
          <w:sz w:val="28"/>
          <w:szCs w:val="28"/>
          <w:highlight w:val="none"/>
        </w:rPr>
        <w:t xml:space="preserve"> предприятий городских округов и муниципальных образований: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МУП  «Бердское автотранспортное предприятие»;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МКП Искитимского района «Пассажирские автотранспортные перевозки»</w:t>
      </w:r>
      <w:r>
        <w:rPr>
          <w:b w:val="0"/>
          <w:bCs w:val="0"/>
          <w:sz w:val="28"/>
          <w:szCs w:val="28"/>
          <w:highlight w:val="none"/>
        </w:rPr>
        <w:t xml:space="preserve">;</w:t>
      </w:r>
    </w:p>
    <w:p>
      <w:pPr>
        <w:ind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МУ Купинское АТП;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МУП Барабинского района «Барабинское автотранспортное предприятие»;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МУП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Болотнинское</w:t>
      </w:r>
      <w:r>
        <w:rPr>
          <w:sz w:val="28"/>
          <w:szCs w:val="28"/>
        </w:rPr>
        <w:t xml:space="preserve"> автотранспортное предприятие»</w:t>
      </w:r>
      <w:r>
        <w:rPr>
          <w:b w:val="0"/>
          <w:bCs w:val="0"/>
          <w:sz w:val="28"/>
          <w:szCs w:val="28"/>
          <w:highlight w:val="none"/>
        </w:rPr>
        <w:t xml:space="preserve">;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sz w:val="28"/>
          <w:szCs w:val="28"/>
        </w:rPr>
        <w:t xml:space="preserve">МУП </w:t>
      </w:r>
      <w:r>
        <w:rPr>
          <w:sz w:val="28"/>
          <w:szCs w:val="28"/>
        </w:rPr>
        <w:t xml:space="preserve">Колыванского района Новосибирской области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Автосервис</w:t>
      </w:r>
      <w:r>
        <w:rPr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  <w:highlight w:val="none"/>
        </w:rPr>
        <w:t xml:space="preserve">;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МУП  «Коченевское  АТП»</w:t>
      </w:r>
      <w:r>
        <w:rPr>
          <w:b w:val="0"/>
          <w:bCs w:val="0"/>
          <w:sz w:val="28"/>
          <w:szCs w:val="28"/>
          <w:highlight w:val="none"/>
        </w:rPr>
        <w:t xml:space="preserve">.</w:t>
      </w:r>
      <w:r>
        <w:rPr>
          <w:b w:val="0"/>
          <w:bCs w:val="0"/>
          <w:sz w:val="28"/>
          <w:szCs w:val="28"/>
          <w:highlight w:val="none"/>
        </w:rPr>
      </w:r>
    </w:p>
    <w:p>
      <w:pPr>
        <w:ind w:firstLine="708"/>
        <w:jc w:val="both"/>
        <w:rPr>
          <w:b w:val="0"/>
          <w:bCs w:val="0"/>
          <w:i w:val="0"/>
          <w:sz w:val="28"/>
          <w:szCs w:val="28"/>
          <w:highlight w:val="none"/>
        </w:rPr>
      </w:pPr>
      <w:r>
        <w:rPr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b w:val="0"/>
          <w:bCs w:val="0"/>
          <w:i w:val="0"/>
          <w:iCs w:val="0"/>
          <w:sz w:val="28"/>
          <w:szCs w:val="28"/>
          <w:highlight w:val="none"/>
        </w:rPr>
        <w:t xml:space="preserve">В настоящее время</w:t>
      </w:r>
      <w:r>
        <w:rPr>
          <w:b w:val="0"/>
          <w:bCs w:val="0"/>
          <w:i w:val="0"/>
          <w:iCs w:val="0"/>
          <w:sz w:val="28"/>
          <w:szCs w:val="28"/>
          <w:highlight w:val="none"/>
        </w:rPr>
        <w:t xml:space="preserve">, вопрос о преобразовании</w:t>
      </w:r>
      <w:r>
        <w:rPr>
          <w:b w:val="0"/>
          <w:bCs w:val="0"/>
          <w:i w:val="0"/>
          <w:iCs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i w:val="0"/>
          <w:iCs w:val="0"/>
          <w:sz w:val="28"/>
          <w:szCs w:val="28"/>
          <w:highlight w:val="none"/>
        </w:rPr>
        <w:t xml:space="preserve">еще 14 предприятий в муниципальных районах Новосибирской области</w:t>
      </w:r>
      <w:r>
        <w:rPr>
          <w:b w:val="0"/>
          <w:bCs w:val="0"/>
          <w:i w:val="0"/>
          <w:iCs w:val="0"/>
          <w:sz w:val="28"/>
          <w:szCs w:val="28"/>
          <w:highlight w:val="none"/>
        </w:rPr>
        <w:t xml:space="preserve">  находится на рассмотрении администраций муниципальных районов. Подведение итогов рассмотрения вопроса преобразования предприятий в муниципальных районах в части определения формы собственности запланировано на первый квартал 2024 года. </w:t>
      </w:r>
      <w:r>
        <w:rPr>
          <w:i w:val="0"/>
          <w:iCs w:val="0"/>
        </w:rPr>
      </w:r>
    </w:p>
    <w:p>
      <w:pPr>
        <w:spacing w:after="0" w:line="240" w:lineRule="auto"/>
        <w:ind w:firstLine="708"/>
        <w:jc w:val="both"/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Для повышения конкуренции рынка перевозки пассажиров автомобильным транспортом, в 2022 году в рамках реализации Федеральн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ого закон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а от 13.07.2015 № 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Федерации...»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 Федерального закона от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05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.04.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2013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№ 44-ФЗ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начата работа по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переходу на контрактную систему в сфере закупок для выполнения работ по пассажирским перевозкам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по регулируемым тарифам.</w:t>
      </w:r>
      <w:r>
        <w:rPr>
          <w:rFonts w:ascii="Times New Roman" w:hAnsi="Times New Roman"/>
          <w:bCs/>
          <w:sz w:val="28"/>
          <w:szCs w:val="28"/>
          <w:lang w:eastAsia="ru-RU"/>
        </w:rPr>
      </w:r>
    </w:p>
    <w:p>
      <w:pPr>
        <w:spacing w:after="0" w:line="240" w:lineRule="auto"/>
        <w:ind w:firstLine="708"/>
        <w:jc w:val="both"/>
        <w:rPr>
          <w:b w:val="0"/>
          <w:bCs w:val="0"/>
        </w:rPr>
      </w:pP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Переводу на контрактную систему подлежат 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723 муниципальных маршрута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 регулярных перевозок, организованных в 33 муниципальных образованиях, и 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65 межмуниципальных маршрутов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 регулярн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ых перевозок, установленных реестром межмун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иципальных маршрутов (приказ министерства Новосибирской области от 07.06.2016 № 95).</w:t>
      </w:r>
      <w:r>
        <w:rPr>
          <w:b w:val="0"/>
          <w:bCs w:val="0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По итогу 2023 года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 количество переведенных на 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контракты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 маршрутов 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составляет: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 566 -по муниципальным маршрутам;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 36 – по межмуниципальным маршрутам.</w:t>
      </w:r>
      <w:r>
        <w:rPr>
          <w:b w:val="0"/>
          <w:bCs w:val="0"/>
        </w:rPr>
      </w:r>
    </w:p>
    <w:p>
      <w:pPr>
        <w:spacing w:after="0" w:line="240" w:lineRule="auto"/>
        <w:ind w:firstLine="708"/>
        <w:jc w:val="both"/>
        <w:rPr>
          <w:highlight w:val="none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Перевод оставшихся 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маршрутов</w:t>
      </w:r>
      <w:r>
        <w:rPr>
          <w:rFonts w:ascii="Times New Roman" w:hAnsi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</w:t>
      </w:r>
      <w:r>
        <w:rPr>
          <w:rFonts w:ascii="Times New Roman" w:hAnsi="Times New Roman" w:eastAsia="Times New Roman"/>
          <w:color w:val="000000"/>
          <w:sz w:val="28"/>
        </w:rPr>
        <w:t xml:space="preserve"> на  государственные и муниципальные контракты запланирован на 2024-2025 годы.</w:t>
      </w:r>
      <w:r>
        <w:rPr>
          <w:highlight w:val="none"/>
        </w:rPr>
      </w:r>
    </w:p>
    <w:p>
      <w:pPr>
        <w:spacing w:after="0" w:line="240" w:lineRule="auto"/>
        <w:ind w:firstLine="708"/>
        <w:jc w:val="both"/>
        <w:rPr>
          <w:bCs/>
          <w:i/>
          <w:u w:val="none"/>
        </w:rPr>
      </w:pPr>
      <w:r>
        <w:rPr>
          <w:rFonts w:ascii="Times New Roman" w:hAnsi="Times New Roman" w:eastAsia="Times New Roman"/>
          <w:i/>
          <w:iCs/>
          <w:color w:val="000000"/>
          <w:sz w:val="28"/>
          <w:u w:val="none"/>
        </w:rPr>
      </w:r>
      <w:r>
        <w:rPr>
          <w:rFonts w:ascii="Times New Roman" w:hAnsi="Times New Roman" w:eastAsia="Times New Roman"/>
          <w:i/>
          <w:iCs/>
          <w:color w:val="000000"/>
          <w:sz w:val="28"/>
          <w:u w:val="none"/>
        </w:rPr>
        <w:t xml:space="preserve">В целях повышения эффективности работы муниципальных автотранспортных предприятий в 2023 году из областного бюджета на осуществление полномочий по организации пассажирских перевозок автомобильным транспортом направлено 1,2 млрд. руб., что позволило:</w:t>
      </w:r>
      <w:r>
        <w:rPr>
          <w:i/>
          <w:iCs/>
        </w:rPr>
      </w:r>
    </w:p>
    <w:p>
      <w:pPr>
        <w:spacing w:after="0" w:line="240" w:lineRule="auto"/>
        <w:ind w:firstLine="708"/>
        <w:jc w:val="both"/>
        <w:rPr>
          <w:b w:val="0"/>
          <w:bCs/>
          <w:i/>
          <w:highlight w:val="none"/>
        </w:rPr>
      </w:pP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1. </w:t>
      </w:r>
      <w:r>
        <w:rPr>
          <w:rFonts w:ascii="Times New Roman" w:hAnsi="Times New Roman" w:eastAsia="Times New Roman"/>
          <w:b w:val="0"/>
          <w:bCs w:val="0"/>
          <w:i/>
          <w:iCs/>
          <w:color w:val="000000"/>
          <w:sz w:val="28"/>
          <w:highlight w:val="none"/>
        </w:rPr>
        <w:t xml:space="preserve">Увеличить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ро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ст заработной платы водительского состава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 в среднем по Новосибирской области:</w:t>
      </w:r>
      <w:r>
        <w:rPr>
          <w:i/>
          <w:iCs/>
        </w:rPr>
      </w:r>
    </w:p>
    <w:p>
      <w:pPr>
        <w:spacing w:after="0" w:line="240" w:lineRule="auto"/>
        <w:ind w:firstLine="708"/>
        <w:jc w:val="both"/>
        <w:rPr>
          <w:b w:val="0"/>
          <w:bCs/>
          <w:i/>
          <w:highlight w:val="none"/>
        </w:rPr>
      </w:pP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- по </w:t>
      </w:r>
      <w:r>
        <w:rPr>
          <w:rFonts w:ascii="Times New Roman" w:hAnsi="Times New Roman" w:eastAsia="Times New Roman"/>
          <w:b w:val="0"/>
          <w:bCs w:val="0"/>
          <w:i/>
          <w:iCs/>
          <w:color w:val="000000"/>
          <w:sz w:val="28"/>
          <w:highlight w:val="none"/>
        </w:rPr>
        <w:t xml:space="preserve">муниципальным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 районам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на 21,3%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 (2021 год – 29 408,9 рублей; 2022 год – 35 437,9 рублей);</w:t>
      </w:r>
      <w:r>
        <w:rPr>
          <w:i/>
          <w:iCs/>
        </w:rPr>
      </w:r>
    </w:p>
    <w:p>
      <w:pPr>
        <w:spacing w:after="0" w:line="240" w:lineRule="auto"/>
        <w:ind w:firstLine="708"/>
        <w:jc w:val="both"/>
        <w:rPr>
          <w:b w:val="0"/>
          <w:bCs/>
          <w:i/>
          <w:highlight w:val="none"/>
        </w:rPr>
      </w:pP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- по </w:t>
      </w:r>
      <w:r>
        <w:rPr>
          <w:rFonts w:ascii="Times New Roman" w:hAnsi="Times New Roman" w:eastAsia="Times New Roman"/>
          <w:b w:val="0"/>
          <w:bCs w:val="0"/>
          <w:i/>
          <w:iCs/>
          <w:color w:val="000000"/>
          <w:sz w:val="28"/>
          <w:highlight w:val="none"/>
        </w:rPr>
        <w:t xml:space="preserve">городским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 округам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на 30,1%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 (2021 год – 41 728,9 рублей; 2022 год – 54 893,3 рубля);</w:t>
      </w:r>
      <w:r>
        <w:rPr>
          <w:i/>
          <w:iCs/>
        </w:rPr>
      </w:r>
    </w:p>
    <w:p>
      <w:pPr>
        <w:spacing w:after="0" w:line="240" w:lineRule="auto"/>
        <w:ind w:firstLine="708"/>
        <w:jc w:val="both"/>
        <w:rPr>
          <w:b w:val="0"/>
          <w:bCs/>
          <w:i/>
          <w:highlight w:val="none"/>
        </w:rPr>
      </w:pP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2. </w:t>
      </w:r>
      <w:r>
        <w:rPr>
          <w:rFonts w:ascii="Times New Roman" w:hAnsi="Times New Roman" w:eastAsia="Times New Roman"/>
          <w:b w:val="0"/>
          <w:bCs w:val="0"/>
          <w:i/>
          <w:iCs/>
          <w:color w:val="000000"/>
          <w:sz w:val="28"/>
          <w:highlight w:val="none"/>
        </w:rPr>
        <w:t xml:space="preserve">Увеличить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объем налоговых отчислений в региональный бюджет на 19,7%.</w:t>
      </w:r>
      <w:r>
        <w:rPr>
          <w:i/>
          <w:iCs/>
        </w:rPr>
      </w:r>
    </w:p>
    <w:p>
      <w:pPr>
        <w:spacing w:after="0" w:line="240" w:lineRule="auto"/>
        <w:ind w:firstLine="708"/>
        <w:jc w:val="both"/>
        <w:rPr>
          <w:b w:val="0"/>
          <w:bCs/>
          <w:i/>
          <w:highlight w:val="none"/>
        </w:rPr>
      </w:pP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3. </w:t>
      </w:r>
      <w:r>
        <w:rPr>
          <w:rFonts w:ascii="Times New Roman" w:hAnsi="Times New Roman" w:eastAsia="Times New Roman"/>
          <w:b w:val="0"/>
          <w:bCs w:val="0"/>
          <w:i/>
          <w:iCs/>
          <w:color w:val="000000"/>
          <w:sz w:val="28"/>
          <w:highlight w:val="none"/>
        </w:rPr>
        <w:t xml:space="preserve">Увеличить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исполнение транспортной работы с 89 до 96,5%.</w:t>
      </w:r>
      <w:r>
        <w:rPr>
          <w:i/>
          <w:iCs/>
        </w:rPr>
      </w:r>
    </w:p>
    <w:p>
      <w:pPr>
        <w:ind w:firstLine="708"/>
        <w:jc w:val="both"/>
        <w:rPr>
          <w:b w:val="0"/>
          <w:bCs/>
          <w:i/>
          <w:highlight w:val="none"/>
        </w:rPr>
      </w:pP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4. Увеличить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рост доли автобусов, оснащенных системами безналичной оплаты проезда с 47% до 74%.</w:t>
      </w:r>
      <w:r>
        <w:rPr>
          <w:i/>
          <w:iCs/>
        </w:rPr>
      </w:r>
    </w:p>
    <w:p>
      <w:pPr>
        <w:spacing w:after="0" w:line="240" w:lineRule="auto"/>
        <w:ind w:firstLine="708"/>
        <w:jc w:val="both"/>
        <w:rPr>
          <w:b w:val="0"/>
          <w:bCs/>
          <w:i/>
          <w:highlight w:val="none"/>
        </w:rPr>
      </w:pP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5. Увеличить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рост доли автобусов, оснащенных системами видеонаблюдения салонов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 (с функцией записи), соотве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тствующих требованиям о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защите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 персональных данных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с 57% до 60%.</w:t>
      </w:r>
      <w:r>
        <w:rPr>
          <w:i/>
          <w:iCs/>
        </w:rPr>
      </w:r>
    </w:p>
    <w:p>
      <w:pPr>
        <w:ind w:firstLine="708"/>
        <w:jc w:val="both"/>
        <w:rPr>
          <w:rFonts w:ascii="Times New Roman" w:hAnsi="Times New Roman" w:eastAsia="Times New Roman"/>
          <w:b w:val="0"/>
          <w:bCs/>
          <w:i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6.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Проводить </w:t>
      </w:r>
      <w:r>
        <w:rPr>
          <w:rFonts w:ascii="Times New Roman" w:hAnsi="Times New Roman" w:eastAsia="Times New Roman"/>
          <w:b w:val="0"/>
          <w:bCs w:val="0"/>
          <w:i/>
          <w:iCs/>
          <w:color w:val="000000"/>
          <w:sz w:val="28"/>
          <w:highlight w:val="none"/>
        </w:rPr>
        <w:t xml:space="preserve">Подрядчиками обновление подвижного состава</w:t>
      </w:r>
      <w:r>
        <w:rPr>
          <w:rFonts w:ascii="Times New Roman" w:hAnsi="Times New Roman" w:eastAsia="Times New Roman"/>
          <w:b w:val="0"/>
          <w:bCs w:val="0"/>
          <w:i/>
          <w:iCs/>
          <w:color w:val="000000"/>
          <w:sz w:val="28"/>
          <w:highlight w:val="none"/>
        </w:rPr>
        <w:t xml:space="preserve"> при достижении им максимального срока эксплуатации на транспортные средства с характеристиками, не ниже </w:t>
      </w:r>
      <w:r>
        <w:rPr>
          <w:rFonts w:ascii="Times New Roman" w:hAnsi="Times New Roman"/>
          <w:b w:val="0"/>
          <w:bCs w:val="0"/>
          <w:i/>
          <w:iCs/>
          <w:sz w:val="28"/>
          <w:szCs w:val="28"/>
          <w:highlight w:val="none"/>
          <w:lang w:eastAsia="ru-RU"/>
        </w:rPr>
        <w:t xml:space="preserve">указанных</w:t>
      </w:r>
      <w:r>
        <w:rPr>
          <w:rFonts w:ascii="Times New Roman" w:hAnsi="Times New Roman" w:eastAsia="Times New Roman"/>
          <w:b w:val="0"/>
          <w:bCs w:val="0"/>
          <w:i/>
          <w:iCs/>
          <w:color w:val="000000"/>
          <w:sz w:val="28"/>
          <w:highlight w:val="none"/>
        </w:rPr>
        <w:t xml:space="preserve"> в контракте. </w:t>
      </w:r>
      <w:r>
        <w:rPr>
          <w:i/>
          <w:iCs/>
        </w:rPr>
      </w:r>
    </w:p>
    <w:p>
      <w:pPr>
        <w:ind w:firstLine="708"/>
        <w:jc w:val="both"/>
        <w:rPr>
          <w:rFonts w:ascii="Times New Roman" w:hAnsi="Times New Roman" w:eastAsia="Times New Roman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/>
          <w:b w:val="0"/>
          <w:bCs w:val="0"/>
          <w:color w:val="000000"/>
          <w:sz w:val="28"/>
          <w:highlight w:val="none"/>
        </w:rPr>
      </w:r>
      <w:r>
        <w:rPr>
          <w:rFonts w:ascii="Times New Roman" w:hAnsi="Times New Roman" w:eastAsia="Times New Roman"/>
          <w:b w:val="0"/>
          <w:bCs w:val="0"/>
          <w:color w:val="000000"/>
          <w:sz w:val="28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709" w:right="850" w:bottom="1134" w:left="1701" w:header="142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2">
    <w:name w:val="Heading 1"/>
    <w:basedOn w:val="829"/>
    <w:next w:val="829"/>
    <w:link w:val="65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3">
    <w:name w:val="Heading 1 Char"/>
    <w:basedOn w:val="830"/>
    <w:link w:val="652"/>
    <w:uiPriority w:val="9"/>
    <w:rPr>
      <w:rFonts w:ascii="Arial" w:hAnsi="Arial" w:eastAsia="Arial" w:cs="Arial"/>
      <w:sz w:val="40"/>
      <w:szCs w:val="40"/>
    </w:rPr>
  </w:style>
  <w:style w:type="paragraph" w:styleId="654">
    <w:name w:val="Heading 2"/>
    <w:basedOn w:val="829"/>
    <w:next w:val="829"/>
    <w:link w:val="65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5">
    <w:name w:val="Heading 2 Char"/>
    <w:basedOn w:val="830"/>
    <w:link w:val="654"/>
    <w:uiPriority w:val="9"/>
    <w:rPr>
      <w:rFonts w:ascii="Arial" w:hAnsi="Arial" w:eastAsia="Arial" w:cs="Arial"/>
      <w:sz w:val="34"/>
    </w:rPr>
  </w:style>
  <w:style w:type="paragraph" w:styleId="656">
    <w:name w:val="Heading 3"/>
    <w:basedOn w:val="829"/>
    <w:next w:val="829"/>
    <w:link w:val="65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7">
    <w:name w:val="Heading 3 Char"/>
    <w:basedOn w:val="830"/>
    <w:link w:val="656"/>
    <w:uiPriority w:val="9"/>
    <w:rPr>
      <w:rFonts w:ascii="Arial" w:hAnsi="Arial" w:eastAsia="Arial" w:cs="Arial"/>
      <w:sz w:val="30"/>
      <w:szCs w:val="30"/>
    </w:rPr>
  </w:style>
  <w:style w:type="paragraph" w:styleId="658">
    <w:name w:val="Heading 4"/>
    <w:basedOn w:val="829"/>
    <w:next w:val="829"/>
    <w:link w:val="65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9">
    <w:name w:val="Heading 4 Char"/>
    <w:basedOn w:val="830"/>
    <w:link w:val="658"/>
    <w:uiPriority w:val="9"/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829"/>
    <w:next w:val="829"/>
    <w:link w:val="66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1">
    <w:name w:val="Heading 5 Char"/>
    <w:basedOn w:val="830"/>
    <w:link w:val="660"/>
    <w:uiPriority w:val="9"/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829"/>
    <w:next w:val="829"/>
    <w:link w:val="66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3">
    <w:name w:val="Heading 6 Char"/>
    <w:basedOn w:val="830"/>
    <w:link w:val="662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9"/>
    <w:next w:val="829"/>
    <w:link w:val="66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basedOn w:val="830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9"/>
    <w:next w:val="829"/>
    <w:link w:val="66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basedOn w:val="830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9"/>
    <w:next w:val="829"/>
    <w:link w:val="66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basedOn w:val="830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No Spacing"/>
    <w:uiPriority w:val="1"/>
    <w:qFormat/>
    <w:pPr>
      <w:spacing w:before="0" w:after="0" w:line="240" w:lineRule="auto"/>
    </w:pPr>
  </w:style>
  <w:style w:type="paragraph" w:styleId="671">
    <w:name w:val="Title"/>
    <w:basedOn w:val="829"/>
    <w:next w:val="829"/>
    <w:link w:val="672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2">
    <w:name w:val="Title Char"/>
    <w:basedOn w:val="830"/>
    <w:link w:val="671"/>
    <w:uiPriority w:val="10"/>
    <w:rPr>
      <w:sz w:val="48"/>
      <w:szCs w:val="48"/>
    </w:rPr>
  </w:style>
  <w:style w:type="paragraph" w:styleId="673">
    <w:name w:val="Subtitle"/>
    <w:basedOn w:val="829"/>
    <w:next w:val="829"/>
    <w:link w:val="674"/>
    <w:uiPriority w:val="11"/>
    <w:qFormat/>
    <w:pPr>
      <w:spacing w:before="200" w:after="200"/>
    </w:pPr>
    <w:rPr>
      <w:sz w:val="24"/>
      <w:szCs w:val="24"/>
    </w:rPr>
  </w:style>
  <w:style w:type="character" w:styleId="674">
    <w:name w:val="Subtitle Char"/>
    <w:basedOn w:val="830"/>
    <w:link w:val="673"/>
    <w:uiPriority w:val="11"/>
    <w:rPr>
      <w:sz w:val="24"/>
      <w:szCs w:val="24"/>
    </w:rPr>
  </w:style>
  <w:style w:type="paragraph" w:styleId="675">
    <w:name w:val="Quote"/>
    <w:basedOn w:val="829"/>
    <w:next w:val="829"/>
    <w:link w:val="676"/>
    <w:uiPriority w:val="29"/>
    <w:qFormat/>
    <w:pPr>
      <w:ind w:left="720" w:right="720"/>
    </w:pPr>
    <w:rPr>
      <w:i/>
    </w:rPr>
  </w:style>
  <w:style w:type="character" w:styleId="676">
    <w:name w:val="Quote Char"/>
    <w:link w:val="675"/>
    <w:uiPriority w:val="29"/>
    <w:rPr>
      <w:i/>
    </w:rPr>
  </w:style>
  <w:style w:type="paragraph" w:styleId="677">
    <w:name w:val="Intense Quote"/>
    <w:basedOn w:val="829"/>
    <w:next w:val="829"/>
    <w:link w:val="67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78">
    <w:name w:val="Intense Quote Char"/>
    <w:link w:val="677"/>
    <w:uiPriority w:val="30"/>
    <w:rPr>
      <w:i/>
    </w:rPr>
  </w:style>
  <w:style w:type="paragraph" w:styleId="679">
    <w:name w:val="Header"/>
    <w:basedOn w:val="829"/>
    <w:link w:val="680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0">
    <w:name w:val="Header Char"/>
    <w:basedOn w:val="830"/>
    <w:link w:val="679"/>
    <w:uiPriority w:val="99"/>
  </w:style>
  <w:style w:type="paragraph" w:styleId="681">
    <w:name w:val="Footer"/>
    <w:basedOn w:val="829"/>
    <w:link w:val="684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2">
    <w:name w:val="Footer Char"/>
    <w:basedOn w:val="830"/>
    <w:link w:val="681"/>
    <w:uiPriority w:val="99"/>
  </w:style>
  <w:style w:type="paragraph" w:styleId="683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4">
    <w:name w:val="Caption Char"/>
    <w:basedOn w:val="683"/>
    <w:link w:val="681"/>
    <w:uiPriority w:val="99"/>
  </w:style>
  <w:style w:type="table" w:styleId="685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0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2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0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1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2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4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4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7a4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5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6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7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8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9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0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1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</w:style>
  <w:style w:type="table" w:styleId="722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723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724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725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</w:style>
  <w:style w:type="table" w:styleId="726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727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8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9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0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1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2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5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6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7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8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9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0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1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9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0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1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2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3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4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5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bdb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bdb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7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8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0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2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3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4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5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6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7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8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9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0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2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3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4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5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6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7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5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6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7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8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9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0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1">
    <w:name w:val="Hyperlink"/>
    <w:uiPriority w:val="99"/>
    <w:unhideWhenUsed/>
    <w:rPr>
      <w:color w:val="0000ff" w:themeColor="hyperlink"/>
      <w:u w:val="single"/>
    </w:r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spacing w:after="57"/>
      <w:ind w:left="0" w:right="0" w:firstLine="0"/>
    </w:pPr>
  </w:style>
  <w:style w:type="paragraph" w:styleId="819">
    <w:name w:val="toc 2"/>
    <w:basedOn w:val="829"/>
    <w:next w:val="829"/>
    <w:uiPriority w:val="39"/>
    <w:unhideWhenUsed/>
    <w:pPr>
      <w:spacing w:after="57"/>
      <w:ind w:left="283" w:right="0" w:firstLine="0"/>
    </w:pPr>
  </w:style>
  <w:style w:type="paragraph" w:styleId="820">
    <w:name w:val="toc 3"/>
    <w:basedOn w:val="829"/>
    <w:next w:val="829"/>
    <w:uiPriority w:val="39"/>
    <w:unhideWhenUsed/>
    <w:pPr>
      <w:spacing w:after="57"/>
      <w:ind w:left="567" w:right="0" w:firstLine="0"/>
    </w:pPr>
  </w:style>
  <w:style w:type="paragraph" w:styleId="821">
    <w:name w:val="toc 4"/>
    <w:basedOn w:val="829"/>
    <w:next w:val="829"/>
    <w:uiPriority w:val="39"/>
    <w:unhideWhenUsed/>
    <w:pPr>
      <w:spacing w:after="57"/>
      <w:ind w:left="850" w:right="0" w:firstLine="0"/>
    </w:pPr>
  </w:style>
  <w:style w:type="paragraph" w:styleId="822">
    <w:name w:val="toc 5"/>
    <w:basedOn w:val="829"/>
    <w:next w:val="829"/>
    <w:uiPriority w:val="39"/>
    <w:unhideWhenUsed/>
    <w:pPr>
      <w:spacing w:after="57"/>
      <w:ind w:left="1134" w:right="0" w:firstLine="0"/>
    </w:pPr>
  </w:style>
  <w:style w:type="paragraph" w:styleId="823">
    <w:name w:val="toc 6"/>
    <w:basedOn w:val="829"/>
    <w:next w:val="829"/>
    <w:uiPriority w:val="39"/>
    <w:unhideWhenUsed/>
    <w:pPr>
      <w:spacing w:after="57"/>
      <w:ind w:left="1417" w:right="0" w:firstLine="0"/>
    </w:pPr>
  </w:style>
  <w:style w:type="paragraph" w:styleId="824">
    <w:name w:val="toc 7"/>
    <w:basedOn w:val="829"/>
    <w:next w:val="829"/>
    <w:uiPriority w:val="39"/>
    <w:unhideWhenUsed/>
    <w:pPr>
      <w:spacing w:after="57"/>
      <w:ind w:left="1701" w:right="0" w:firstLine="0"/>
    </w:pPr>
  </w:style>
  <w:style w:type="paragraph" w:styleId="825">
    <w:name w:val="toc 8"/>
    <w:basedOn w:val="829"/>
    <w:next w:val="829"/>
    <w:uiPriority w:val="39"/>
    <w:unhideWhenUsed/>
    <w:pPr>
      <w:spacing w:after="57"/>
      <w:ind w:left="1984" w:right="0" w:firstLine="0"/>
    </w:pPr>
  </w:style>
  <w:style w:type="paragraph" w:styleId="826">
    <w:name w:val="toc 9"/>
    <w:basedOn w:val="829"/>
    <w:next w:val="829"/>
    <w:uiPriority w:val="39"/>
    <w:unhideWhenUsed/>
    <w:pPr>
      <w:spacing w:after="57"/>
      <w:ind w:left="2268" w:right="0" w:firstLine="0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List Paragraph"/>
    <w:basedOn w:val="829"/>
    <w:uiPriority w:val="34"/>
    <w:qFormat/>
    <w:pPr>
      <w:ind w:left="720"/>
      <w:contextualSpacing/>
    </w:pPr>
  </w:style>
  <w:style w:type="paragraph" w:styleId="834" w:customStyle="1">
    <w:name w:val="formattext topleveltext"/>
    <w:qFormat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spacing w:before="0" w:beforeAutospacing="1" w:after="0" w:afterAutospacing="1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Екатерина Олеговна</dc:creator>
  <cp:keywords/>
  <dc:description/>
  <cp:revision>8</cp:revision>
  <dcterms:created xsi:type="dcterms:W3CDTF">2022-10-17T10:05:00Z</dcterms:created>
  <dcterms:modified xsi:type="dcterms:W3CDTF">2023-12-14T05:48:11Z</dcterms:modified>
</cp:coreProperties>
</file>