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80"/>
        <w:spacing w:before="0" w:after="0" w:line="283" w:lineRule="atLeast"/>
        <w:ind w:left="0" w:firstLine="0"/>
        <w:contextualSpacing/>
        <w:jc w:val="lef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80"/>
        <w:spacing w:before="0" w:after="0" w:line="283" w:lineRule="atLeast"/>
        <w:ind w:left="0" w:firstLine="0"/>
        <w:contextualSpacing/>
        <w:jc w:val="center"/>
        <w:outlineLvl w:val="0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ПРАВИТЕЛЬСТВО РОССИЙСКОЙ ФЕДЕРАЦИИ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ПОСТАНОВЛЕНИЕ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от 19 октября 2020 г. N 1704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ОБ УТВЕРЖДЕНИИ ПРАВИЛ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ОПРЕДЕЛЕНИЯ НОВЫХ ИНВЕСТИЦИОННЫХ ПРОЕКТОВ, В ЦЕЛЯХ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РЕАЛИЗАЦИИ КОТОРЫХ СРЕДСТВА БЮДЖЕТА СУБЪЕКТА РОССИЙСКОЙ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ФЕДЕРАЦИИ, ВЫСВОБОЖДАЕМЫЕ В РЕЗУЛЬТАТЕ СНИЖЕНИЯ ОБЪЕМА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ПОГАШЕНИЯ ЗАДОЛЖЕННОСТИ СУБЪЕКТА РОССИЙСКОЙ ФЕДЕРАЦИИ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ПЕРЕД РОССИЙСКОЙ ФЕДЕРАЦИЕЙ ПО БЮДЖЕТНЫМ КРЕДИТАМ,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ПОДЛЕЖАТ НАПРАВЛЕНИЮ НА ВЫПОЛНЕНИЕ ИНЖЕНЕРНЫХ ИЗЫСКАНИЙ,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ПРОЕКТИРОВАНИЕ, ЭКСПЕРТИЗУ ПРОЕКТНОЙ ДОКУМЕНТАЦИИ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И (ИЛИ) РЕЗУЛЬТАТОВ ИНЖЕНЕРНЫХ ИЗЫСКАНИЙ, СТРОИТЕЛЬСТВО,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РЕКОНСТРУКЦИЮ И ВВОД В ЭКСПЛУАТАЦИЮ ОБЪЕКТОВ ИНФРАСТРУКТУРЫ,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А ТАКЖЕ НА ПОДКЛЮЧЕНИЕ (ТЕХНОЛОГИЧЕСКОЕ ПРИСОЕДИНЕНИЕ)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ОБЪЕКТОВ КАПИТАЛЬНОГО СТРОИТЕЛЬСТВА К СЕТЯМ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ИНЖЕНЕРНО-ТЕХНИЧЕСКОГО ОБЕСПЕЧЕНИЯ</w:t>
      </w:r>
    </w:p>
    <w:p>
      <w:pPr>
        <w:pStyle w:val="Style_180"/>
        <w:spacing w:before="0" w:after="0" w:line="283" w:lineRule="atLeast"/>
        <w:contextualSpacing/>
        <w:jc w:val="left"/>
        <w:rPr>
          <w:rFonts w:ascii="TimesNewRoman" w:hAnsi="TimesNewRoman" w:eastAsia="TimesNewRoman" w:cs="TimesNewRoman"/>
          <w:sz w:val="28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 w:color="auto"/>
              <w:left w:val="none" w:color="auto"/>
              <w:bottom w:val="none" w:color="auto"/>
              <w:right w:val="none" w:color="auto"/>
            </w:tcBorders>
            <w:shd w:val="clear" w:color="ced3f1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Style_180"/>
              <w:spacing w:before="0" w:after="0" w:line="283" w:lineRule="atLeast"/>
              <w:contextualSpacing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113" w:type="dxa"/>
            <w:tcBorders>
              <w:top w:val="none" w:color="auto"/>
              <w:left w:val="none" w:color="auto"/>
              <w:bottom w:val="none" w:color="auto"/>
              <w:right w:val="none" w:color="auto"/>
            </w:tcBorders>
            <w:shd w:val="clear" w:color="f4f3f8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Style_180"/>
              <w:spacing w:before="0" w:after="0" w:line="283" w:lineRule="atLeast"/>
              <w:contextualSpacing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9921" w:type="dxa"/>
            <w:tcBorders>
              <w:top w:val="none" w:color="auto"/>
              <w:left w:val="none" w:color="auto"/>
              <w:bottom w:val="none" w:color="auto"/>
              <w:right w:val="none" w:color="auto"/>
            </w:tcBorders>
            <w:shd w:val="clear" w:color="f4f3f8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textDirection w:val="lrTb"/>
            <w:vAlign w:val="top"/>
          </w:tcPr>
          <w:p>
            <w:pPr>
              <w:pStyle w:val="Style_180"/>
              <w:spacing w:before="0" w:after="0" w:line="283" w:lineRule="atLeast"/>
              <w:ind w:left="0" w:firstLine="0"/>
              <w:contextualSpacing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Список изменяющих документов</w:t>
            </w:r>
          </w:p>
          <w:p>
            <w:pPr>
              <w:pStyle w:val="Style_180"/>
              <w:spacing w:before="0" w:after="0" w:line="283" w:lineRule="atLeast"/>
              <w:ind w:left="0" w:firstLine="0"/>
              <w:contextualSpacing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(в ред. Постановлений Правительства РФ от 27.05.2021 </w:t>
            </w:r>
            <w:hyperlink r:id="rId8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801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</w:t>
            </w:r>
          </w:p>
          <w:p>
            <w:pPr>
              <w:pStyle w:val="Style_180"/>
              <w:spacing w:before="0" w:after="0" w:line="283" w:lineRule="atLeast"/>
              <w:ind w:left="0" w:firstLine="0"/>
              <w:contextualSpacing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от 25.09.2021 </w:t>
            </w:r>
            <w:hyperlink r:id="rId9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1611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 от 18.03.2022 </w:t>
            </w:r>
            <w:hyperlink r:id="rId10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400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 от 21.09.2022 </w:t>
            </w:r>
            <w:hyperlink r:id="rId11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1662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</w:t>
            </w:r>
          </w:p>
          <w:p>
            <w:pPr>
              <w:pStyle w:val="Style_180"/>
              <w:spacing w:before="0" w:after="0" w:line="283" w:lineRule="atLeast"/>
              <w:ind w:left="0" w:firstLine="0"/>
              <w:contextualSpacing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от 09.12.2022 </w:t>
            </w:r>
            <w:hyperlink r:id="rId12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2272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 от 24.07.2023 </w:t>
            </w:r>
            <w:hyperlink r:id="rId13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1198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 от 14.02.2024 </w:t>
            </w:r>
            <w:hyperlink r:id="rId14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154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</w:t>
            </w:r>
          </w:p>
          <w:p>
            <w:pPr>
              <w:pStyle w:val="Style_180"/>
              <w:spacing w:before="0" w:after="0" w:line="283" w:lineRule="atLeast"/>
              <w:ind w:left="0" w:firstLine="0"/>
              <w:contextualSpacing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от 18.09.2024 </w:t>
            </w:r>
            <w:hyperlink r:id="rId15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1277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 от 22.04.2025 </w:t>
            </w:r>
            <w:hyperlink r:id="rId16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528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)</w:t>
            </w:r>
          </w:p>
        </w:tc>
        <w:tc>
          <w:tcPr>
            <w:tcW w:w="113" w:type="dxa"/>
            <w:tcBorders>
              <w:top w:val="none" w:color="auto"/>
              <w:left w:val="none" w:color="auto"/>
              <w:bottom w:val="none" w:color="auto"/>
              <w:right w:val="none" w:color="auto"/>
            </w:tcBorders>
            <w:shd w:val="clear" w:color="f4f3f8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Style_180"/>
              <w:spacing w:before="0" w:after="0" w:line="283" w:lineRule="atLeast"/>
              <w:ind w:left="0" w:firstLine="0"/>
              <w:contextualSpacing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</w:p>
        </w:tc>
      </w:tr>
    </w:tbl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80"/>
        <w:spacing w:before="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В соответствии с </w:t>
      </w:r>
      <w:hyperlink r:id="rId17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частью 6 статьи 16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Федерального закона "О федеральном бюджете на 2020 год и на плановый период 2021 и 2022 годов" Правительство Российской Федерации постановляет: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Утвердить прилагаемые 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(в ред. </w:t>
      </w:r>
      <w:hyperlink r:id="rId18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Постановления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18.03.2022 N 400)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80"/>
        <w:spacing w:before="0" w:after="0" w:line="283" w:lineRule="atLeast"/>
        <w:ind w:left="0" w:firstLine="0"/>
        <w:contextualSpacing/>
        <w:jc w:val="righ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Председатель Правительства</w:t>
      </w:r>
    </w:p>
    <w:p>
      <w:pPr>
        <w:pStyle w:val="Style_180"/>
        <w:spacing w:before="0" w:after="0" w:line="283" w:lineRule="atLeast"/>
        <w:ind w:left="0" w:firstLine="0"/>
        <w:contextualSpacing/>
        <w:jc w:val="righ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Российской Федерации</w:t>
      </w:r>
    </w:p>
    <w:p>
      <w:pPr>
        <w:pStyle w:val="Style_180"/>
        <w:spacing w:before="0" w:after="0" w:line="283" w:lineRule="atLeast"/>
        <w:ind w:left="0" w:firstLine="0"/>
        <w:contextualSpacing/>
        <w:jc w:val="righ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М.МИШУСТИН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80"/>
        <w:spacing w:before="0" w:after="0" w:line="283" w:lineRule="atLeast"/>
        <w:ind w:left="0" w:firstLine="0"/>
        <w:contextualSpacing/>
        <w:jc w:val="right"/>
        <w:outlineLvl w:val="0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Утверждены</w:t>
      </w:r>
    </w:p>
    <w:p>
      <w:pPr>
        <w:pStyle w:val="Style_180"/>
        <w:spacing w:before="0" w:after="0" w:line="283" w:lineRule="atLeast"/>
        <w:ind w:left="0" w:firstLine="0"/>
        <w:contextualSpacing/>
        <w:jc w:val="righ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постановлением Правительства</w:t>
      </w:r>
    </w:p>
    <w:p>
      <w:pPr>
        <w:pStyle w:val="Style_180"/>
        <w:spacing w:before="0" w:after="0" w:line="283" w:lineRule="atLeast"/>
        <w:ind w:left="0" w:firstLine="0"/>
        <w:contextualSpacing/>
        <w:jc w:val="righ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Российской Федерации</w:t>
      </w:r>
    </w:p>
    <w:p>
      <w:pPr>
        <w:pStyle w:val="Style_180"/>
        <w:spacing w:before="0" w:after="0" w:line="283" w:lineRule="atLeast"/>
        <w:ind w:left="0" w:firstLine="0"/>
        <w:contextualSpacing/>
        <w:jc w:val="right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от 19 октября 2020 г. N 1704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bookmarkStart w:id="1" w:name="Par42"/>
      <w:bookmarkEnd w:id="1"/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ПРАВИЛА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ОПРЕДЕЛЕНИЯ НОВЫХ ИНВЕСТИЦИОННЫХ ПРОЕКТОВ, В ЦЕЛЯХ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РЕАЛИЗАЦИИ КОТОРЫХ СРЕДСТВА БЮДЖЕТА СУБЪЕКТА РОССИЙСКОЙ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ФЕДЕРАЦИИ, ВЫСВОБОЖДАЕМЫЕ В РЕЗУЛЬТАТЕ СНИЖЕНИЯ ОБЪЕМА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ПОГАШЕНИЯ ЗАДОЛЖЕННОСТИ СУБЪЕКТА РОССИЙСКОЙ ФЕДЕРАЦИИ ПЕРЕД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РОССИЙСКОЙ ФЕДЕРАЦИЕЙ ПО БЮДЖЕТНЫМ КРЕДИТАМ, ПОДЛЕЖАТ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НАПРАВЛЕНИЮ НА ВЫПОЛНЕНИЕ ИНЖЕНЕРНЫХ ИЗЫСКАНИЙ,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ПРОЕКТИРОВАНИЕ, ЭКСПЕРТИЗУ ПРОЕКТНОЙ ДОКУМЕНТАЦИИ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И (ИЛИ) РЕЗУЛЬТАТОВ ИНЖЕНЕРНЫХ ИЗЫСКАНИЙ, СТРОИТЕЛЬСТВО,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РЕКОНСТРУКЦИЮ И ВВОД В ЭКСПЛУАТАЦИЮ ОБЪЕКТОВ ИНФРАСТРУКТУРЫ,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А ТАКЖЕ НА ПОДКЛЮЧЕНИЕ (ТЕХНОЛОГИЧЕСКОЕ ПРИСОЕДИНЕНИЕ)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ОБЪЕКТОВ КАПИТАЛЬНОГО СТРОИТЕЛЬСТВА К СЕТЯМ</w:t>
      </w:r>
    </w:p>
    <w:p>
      <w:pPr>
        <w:pStyle w:val="Style_180"/>
        <w:spacing w:before="0" w:after="0" w:line="283" w:lineRule="atLeast"/>
        <w:ind w:left="0" w:firstLine="0"/>
        <w:contextualSpacing/>
        <w:jc w:val="center"/>
        <w:rPr>
          <w:rFonts w:ascii="TimesNewRoman" w:hAnsi="TimesNewRoman" w:eastAsia="TimesNewRoman" w:cs="TimesNewRoman"/>
          <w:b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/>
          <w:i w:val="0"/>
          <w:strike w:val="0"/>
          <w:sz w:val="28"/>
        </w:rPr>
        <w:t xml:space="preserve">ИНЖЕНЕРНО-ТЕХНИЧЕСКОГО ОБЕСПЕЧЕНИЯ</w:t>
      </w:r>
    </w:p>
    <w:p>
      <w:pPr>
        <w:pStyle w:val="Style_180"/>
        <w:spacing w:before="0" w:after="0" w:line="283" w:lineRule="atLeast"/>
        <w:contextualSpacing/>
        <w:jc w:val="left"/>
        <w:rPr>
          <w:rFonts w:ascii="TimesNewRoman" w:hAnsi="TimesNewRoman" w:eastAsia="TimesNewRoman" w:cs="TimesNewRoman"/>
          <w:sz w:val="28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 w:color="auto"/>
              <w:left w:val="none" w:color="auto"/>
              <w:bottom w:val="none" w:color="auto"/>
              <w:right w:val="none" w:color="auto"/>
            </w:tcBorders>
            <w:shd w:val="clear" w:color="ced3f1" w:fill="ced3f1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Style_180"/>
              <w:spacing w:before="0" w:after="0" w:line="283" w:lineRule="atLeast"/>
              <w:contextualSpacing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113" w:type="dxa"/>
            <w:tcBorders>
              <w:top w:val="none" w:color="auto"/>
              <w:left w:val="none" w:color="auto"/>
              <w:bottom w:val="none" w:color="auto"/>
              <w:right w:val="none" w:color="auto"/>
            </w:tcBorders>
            <w:shd w:val="clear" w:color="f4f3f8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Style_180"/>
              <w:spacing w:before="0" w:after="0" w:line="283" w:lineRule="atLeast"/>
              <w:contextualSpacing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9921" w:type="dxa"/>
            <w:tcBorders>
              <w:top w:val="none" w:color="auto"/>
              <w:left w:val="none" w:color="auto"/>
              <w:bottom w:val="none" w:color="auto"/>
              <w:right w:val="none" w:color="auto"/>
            </w:tcBorders>
            <w:shd w:val="clear" w:color="f4f3f8" w:fill="f4f3f8"/>
            <w:noWrap w:val="false"/>
            <w:tcMar>
              <w:left w:w="0" w:type="dxa"/>
              <w:top w:w="113" w:type="dxa"/>
              <w:right w:w="0" w:type="dxa"/>
              <w:bottom w:w="113" w:type="dxa"/>
            </w:tcMar>
            <w:textDirection w:val="lrTb"/>
            <w:vAlign w:val="top"/>
          </w:tcPr>
          <w:p>
            <w:pPr>
              <w:pStyle w:val="Style_180"/>
              <w:spacing w:before="0" w:after="0" w:line="283" w:lineRule="atLeast"/>
              <w:ind w:left="0" w:firstLine="0"/>
              <w:contextualSpacing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Список изменяющих документов</w:t>
            </w:r>
          </w:p>
          <w:p>
            <w:pPr>
              <w:pStyle w:val="Style_180"/>
              <w:spacing w:before="0" w:after="0" w:line="283" w:lineRule="atLeast"/>
              <w:ind w:left="0" w:firstLine="0"/>
              <w:contextualSpacing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(в ред. Постановлений Правительства РФ от 27.05.2021 </w:t>
            </w:r>
            <w:hyperlink r:id="rId19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801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</w:t>
            </w:r>
          </w:p>
          <w:p>
            <w:pPr>
              <w:pStyle w:val="Style_180"/>
              <w:spacing w:before="0" w:after="0" w:line="283" w:lineRule="atLeast"/>
              <w:ind w:left="0" w:firstLine="0"/>
              <w:contextualSpacing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от 25.09.2021 </w:t>
            </w:r>
            <w:hyperlink r:id="rId20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1611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 от 18.03.2022 </w:t>
            </w:r>
            <w:hyperlink r:id="rId21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400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 от 21.09.2022 </w:t>
            </w:r>
            <w:hyperlink r:id="rId22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1662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</w:t>
            </w:r>
          </w:p>
          <w:p>
            <w:pPr>
              <w:pStyle w:val="Style_180"/>
              <w:spacing w:before="0" w:after="0" w:line="283" w:lineRule="atLeast"/>
              <w:ind w:left="0" w:firstLine="0"/>
              <w:contextualSpacing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от 09.12.2022 </w:t>
            </w:r>
            <w:hyperlink r:id="rId23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2272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 от 24.07.2023 </w:t>
            </w:r>
            <w:hyperlink r:id="rId24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1198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 от 14.02.2024 </w:t>
            </w:r>
            <w:hyperlink r:id="rId25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154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</w:t>
            </w:r>
          </w:p>
          <w:p>
            <w:pPr>
              <w:pStyle w:val="Style_180"/>
              <w:spacing w:before="0" w:after="0" w:line="283" w:lineRule="atLeast"/>
              <w:ind w:left="0" w:firstLine="0"/>
              <w:contextualSpacing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от 18.09.2024 </w:t>
            </w:r>
            <w:hyperlink r:id="rId26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1277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, от 22.04.2025 </w:t>
            </w:r>
            <w:hyperlink r:id="rId27">
              <w:r>
                <w:rPr>
                  <w:rFonts w:ascii="TimesNewRoman" w:hAnsi="TimesNewRoman" w:eastAsia="TimesNewRoman" w:cs="TimesNewRoman"/>
                  <w:b w:val="0"/>
                  <w:i w:val="0"/>
                  <w:strike w:val="0"/>
                  <w:color w:val="0000ff"/>
                  <w:sz w:val="28"/>
                </w:rPr>
                <w:t xml:space="preserve">N 528</w:t>
              </w:r>
            </w:hyperlink>
            <w:r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  <w:t xml:space="preserve">)</w:t>
            </w:r>
          </w:p>
        </w:tc>
        <w:tc>
          <w:tcPr>
            <w:tcW w:w="113" w:type="dxa"/>
            <w:tcBorders>
              <w:top w:val="none" w:color="auto"/>
              <w:left w:val="none" w:color="auto"/>
              <w:bottom w:val="none" w:color="auto"/>
              <w:right w:val="none" w:color="auto"/>
            </w:tcBorders>
            <w:shd w:val="clear" w:color="f4f3f8" w:fill="f4f3f8"/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Style w:val="Style_180"/>
              <w:spacing w:before="0" w:after="0" w:line="283" w:lineRule="atLeast"/>
              <w:ind w:left="0" w:firstLine="0"/>
              <w:contextualSpacing/>
              <w:jc w:val="center"/>
              <w:rPr>
                <w:rFonts w:ascii="TimesNewRoman" w:hAnsi="TimesNewRoman" w:eastAsia="TimesNewRoman" w:cs="TimesNewRoman"/>
                <w:b w:val="0"/>
                <w:i w:val="0"/>
                <w:strike w:val="0"/>
                <w:color w:val="392c69"/>
                <w:sz w:val="28"/>
              </w:rPr>
            </w:pPr>
          </w:p>
        </w:tc>
      </w:tr>
    </w:tbl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80"/>
        <w:spacing w:before="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1. Настоящие Правила устанавливают порядок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 (далее - мероприятия, направленные на создание (развитие) инфраструктуры).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(в ред. Постановлений Правительства РФ от 18.03.2022 </w:t>
      </w:r>
      <w:hyperlink r:id="rId28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400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, от 24.07.2023 </w:t>
      </w:r>
      <w:hyperlink r:id="rId29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1198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Средства бюджета субъекта Российской Федерации, высвобождаемые в 2021 - 2024 годах в результате снижения объема погашения задолженности субъекта Российской Федерации перед Российской Федерацией по бюджетным кредитам (далее - высвобождаемые средства) с учетом реализации положений, предусмотренных </w:t>
      </w:r>
      <w:hyperlink r:id="rId30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частью 4 статьи 16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Федерального закона "О федеральном бюджете на 2020 год и на плановый период 2021 и 2022 годов" (далее - Федеральный закон), </w:t>
      </w:r>
      <w:hyperlink r:id="rId3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частью 3 статьи 3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Федерального закона "О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Федерации", </w:t>
      </w:r>
      <w:hyperlink r:id="rId32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частью 33 статьи 10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</w:t>
      </w:r>
      <w:hyperlink r:id="rId33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подпунктом "г" пункта 12(1)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13 декабря 2017 г. N 1531 "О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кредитам", </w:t>
      </w:r>
      <w:hyperlink r:id="rId34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пунктом 16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Правил проведения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18 декабря 2012 г. N 1325 "О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кредитам", </w:t>
      </w:r>
      <w:hyperlink r:id="rId35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пунктом 11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Правил проведения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26 декабря 2013 г. N 1271 "О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кредитам", и </w:t>
      </w:r>
      <w:hyperlink r:id="rId36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подпунктом "а" пункта 10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28 июня 2021 г. N 1029 "Об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кредитам", подлежат направлению на реализацию мероприятий, направленных на создание (развитие) инфраструктуры в целях реализации новых инвестиционных проектов.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(в ред. Постановлений Правительства РФ от 25.09.2021 </w:t>
      </w:r>
      <w:hyperlink r:id="rId37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1611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, от 18.03.2022 </w:t>
      </w:r>
      <w:hyperlink r:id="rId38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400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, от 21.09.2022 </w:t>
      </w:r>
      <w:hyperlink r:id="rId39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1662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, от 24.07.2023 </w:t>
      </w:r>
      <w:hyperlink r:id="rId40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1198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Для целей настоящих Правил под новым инвестиционным проектом понимается ограниченный по времени и ресурсам комплекс мероприятий, направленных на создание и последующую эксплуатацию новых объектов основных средств или на реконструкцию существующих объектов, создание и ввод в эксплуатацию новых объектов жилищного фонда, которые вводятся в эксплуатацию после 1 января 2021 г.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(в ред. </w:t>
      </w:r>
      <w:hyperlink r:id="rId4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Постановления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24.07.2023 N 1198)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Под объектами инфраструктуры понимаются объекты транспортной, инженерной, энергетической и коммунальной инфраструктуры, объекты инфраструктуры индустриальных (промышленных) парков, промышленных технопарков, технопарков в сфере высоких технологий, особых экономических зон, созданных в соответствии с Федеральным </w:t>
      </w:r>
      <w:hyperlink r:id="rId42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законом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"Об особых экономических зонах в Российской Федерации", территорий опережающего развития, инновационных научно-технологических центров, необходимые для реализации нового инвестиционного проекта. К объектам транспортной и инженерной инфраструктуры, необходимым для реализации новых инвестиционных проектов в сфере туристской деятельности, относятся в том числе подвесные канатные дороги, фуникулеры транспортные, канатно-кресельные подъемники и бугельные подъемники, горнолыжные трассы, системы искусственного снегообразования и сооружения инженерной защиты склонов.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(в ред. Постановлений Правительства РФ от 27.05.2021 </w:t>
      </w:r>
      <w:hyperlink r:id="rId43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801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, от 24.07.2023 </w:t>
      </w:r>
      <w:hyperlink r:id="rId44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1198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, от 14.02.2024 </w:t>
      </w:r>
      <w:hyperlink r:id="rId45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154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bookmarkStart w:id="2" w:name="Par69"/>
      <w:bookmarkEnd w:id="2"/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2. Новые инвестиционные проекты для целей настоящих Правил должны реализовываться субъектами Российской Федерации в следующих сферах: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сельское хозяйство;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добыча полезных ископаемых (за исключением добычи и (или) первичной переработки нефти, добычи природного газа и (или) газового конденсата, оказания услуг по транспортировке нефти и (или) нефтепродуктов, газа и (или) газового конденсата);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туристская деятельность;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логистическая деятельность;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обрабатывающие производства, за исключением производства подакцизных товаров (кроме производства автомобильного бензина 5-го класса, дизельного топлива 5-го класса, моторных масел для дизельных и (или) карбюраторных (инжекторных) двигателей, авиационного керосина, продуктов нефтехимии, являющихся подакцизными товарами);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по отраслям, относящимся к перспективным экономическим специализациям субъектов Российской Федерации, предусмотренным </w:t>
      </w:r>
      <w:hyperlink r:id="rId46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приложением N 1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к Стратегии пространственного развития Российской Федерации на период до 2025 года, утвержденной распоряжением Правительства Российской Федерации от 13 февраля 2019 г. N 207-р;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жилищное строительство;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жилищно-коммунальное хозяйство;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строительство или реконструкция автомобильных дорог (участков автомобильных дорог и (или) искусственных дорожных сооружений), реализуемых субъектами Российской Федерации в рамках концессионных соглашений;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дорожное хозяйство с применением механизма государственно-частного партнерства;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транспорт общего пользования;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(абзац введен </w:t>
      </w:r>
      <w:hyperlink r:id="rId47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27.05.2021 N 801)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строительство аэропортовой инфраструктуры;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(абзац введен </w:t>
      </w:r>
      <w:hyperlink r:id="rId48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27.05.2021 N 801)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обеспечение электрической энергией, газом и паром.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(абзац введен </w:t>
      </w:r>
      <w:hyperlink r:id="rId49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27.05.2021 N 801)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3. Высвобождаемые средства направляются субъектом Российской Федерации на реализацию мероприятий, направленных на создание (развитие) инфраструктуры в целях реализации новых инвестиционных проектов в формах, определенных бюджетным законодательством Российской Федерации.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Финансовое обеспечение реализации мероприятий, направленных на создание (развитие) инфраструктуры, возможно полностью или частично за счет высвобождаемых средств только в части расходов, осуществленных после 1 января 2021 г.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(в ред. </w:t>
      </w:r>
      <w:hyperlink r:id="rId50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Постановления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14.02.2024 N 154)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(п. 3 в ред. </w:t>
      </w:r>
      <w:hyperlink r:id="rId5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Постановления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24.07.2023 N 1198)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bookmarkStart w:id="3" w:name="Par90"/>
      <w:bookmarkEnd w:id="3"/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4. Министерство экономического развития Российской Федерации в целях формирования сводного перечня новых инвестиционных проектов (далее - сводный перечень) в течение 30 календарных дней со дня вступления в силу постановления Правительства Российской Федерации от 19 октября 2020 г. N 1704 "Об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обеспечения" направляет субъектам Российской Федерации, имеющим задолженность перед Российской Федерацией по бюджетным кредитам, указанным в </w:t>
      </w:r>
      <w:hyperlink r:id="rId52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части 4 статьи 16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Федерального закона, запрос о предоставлении информации о новых инвестиционных проектах.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(в ред. </w:t>
      </w:r>
      <w:hyperlink r:id="rId53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Постановления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18.03.2022 N 400)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bookmarkStart w:id="4" w:name="Par92"/>
      <w:bookmarkEnd w:id="4"/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5. Высшее должностное лицо субъекта Российской Федерации (председатель высшего исполнительного органа субъекта Российской Федерации) в течение 30 календарных дней со дня получения запроса, указанного в  настоящих Правил, а также с учетом положений  настоящих Правил, представляет в Министерство экономического развития Российской Федерации перечень новых инвестиционных проектов.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(в ред. </w:t>
      </w:r>
      <w:hyperlink r:id="rId54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Постановления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09.12.2022 N 2272)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В целях дальнейшего уточнения перечня новых инвестиционных проектов высшее должностное лицо субъекта Российской Федерации (председатель высшего исполнительного органа субъекта Российской Федерации) направляет свои предложения по его корректировке в Министерство экономического развития Российской Федерации для последующего рассмотрения в соответствии с  настоящих Правил. В 2021 году указанные предложения направляются при необходимости в срок до 1 июля, до 1 сентября и до 1 ноября, далее ежегодно при необходимости до 1 апреля и до 1 сентября, но не позднее 1 декабря 2025 г.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(в ред. Постановлений Правительства РФ от 27.05.2021 </w:t>
      </w:r>
      <w:hyperlink r:id="rId55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801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, от 09.12.2022 </w:t>
      </w:r>
      <w:hyperlink r:id="rId56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2272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, от 22.04.2025 </w:t>
      </w:r>
      <w:hyperlink r:id="rId57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528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bookmarkStart w:id="5" w:name="Par96"/>
      <w:bookmarkEnd w:id="5"/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6. Новый инвестиционный проект подлежит включению в сводный перечень в случае его соответствия следующим критериям отбора новых инвестиционных проектов: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стоимость нового инвестиционного проекта не менее 50 млн. рублей;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наличие затрат субъекта Российской Федерации на реализацию мероприятий, направленных на создание (развитие) инфраструктуры в целях реализации нового инвестиционного проекта за счет высвобождаемых средств;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(в ред. Постановлений Правительства РФ от 18.03.2022 </w:t>
      </w:r>
      <w:hyperlink r:id="rId58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400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, от 24.07.2023 </w:t>
      </w:r>
      <w:hyperlink r:id="rId59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1198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наличие соглашения о намерениях по реализации нового инвестиционного проекта, заключенного между высшим исполнительным органом субъекта Российской Федерации (высшим должностным лицом субъекта Российской Федерации или председателем высшего исполнительного органа субъекта Российской Федерации) и потенциальным инвестором, содержащего информацию о планируемых объемах инвестиций, количестве создаваемых рабочих мест, необходимых для реализации нового инвестиционного проекта объектов инфраструктуры (с описанием инфраструктурных потребностей потенциального инвестора), объемах налогов, уплаченных в бюджеты всех уровней бюджетной системы Российской Федерации (за вычетом объема налога на добавленную стоимость, фактически возмещенного в соответствии с законодательством Российской Федерации о налогах и сборах), за период реализации проекта, но не менее срока полного исполнения обязательств, предусмотренных соглашением, заключенным между Министерством финансов Российской Федерации и уполномоченным исполнительным органом субъекта Российской Федерации, о предоставлении бюджету субъекта Российской Федерации бюджетного кредита на цели, установленные </w:t>
      </w:r>
      <w:hyperlink r:id="rId60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пунктом 1 статьи 93.3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Бюджетного кодекса Российской Федерации, а также обязательства инвестора по представлению отчета о ходе реализации нового инвестиционного проекта субъекту Российской Федерации;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(в ред. Постановлений Правительства РФ от 18.03.2022 </w:t>
      </w:r>
      <w:hyperlink r:id="rId6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400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, от 09.12.2022 </w:t>
      </w:r>
      <w:hyperlink r:id="rId62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2272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наличие документа, содержащего краткое описание нового инвестиционного проекта и его целей, а также основные технико-экономические параметры, подготовленного в соответствии с </w:t>
      </w:r>
      <w:hyperlink r:id="rId63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формой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, определяемой Министерством экономического развития Российской Федерации (резюме нового инвестиционного проекта).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(абзац введен </w:t>
      </w:r>
      <w:hyperlink r:id="rId64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18.03.2022 N 400)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Для отбора новых инвестиционных проектов, реализуемых резидентами особых экономических зон, созданных в соответствии с Федеральным </w:t>
      </w:r>
      <w:hyperlink r:id="rId65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законом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"Об особых экономических зонах в Российской Федерации", критерии отбора новых инвестиционных проектов, предусмотренные абзацами четвертым и пятым настоящего пункта, не применяются в случае наличия соглашений об осуществлении промышленно-производственной, технико-внедренческой, туристско-рекреационной деятельности или деятельности в портовой особой экономической зоне, содержащих соответствующие обязательства потенциальных инвесторов.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(абзац введен </w:t>
      </w:r>
      <w:hyperlink r:id="rId66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14.02.2024 N 154)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(п. 6 в ред. </w:t>
      </w:r>
      <w:hyperlink r:id="rId67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Постановления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27.05.2021 N 801)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6(1). Высвобождаемые средства могут быть направлены субъектом Российской Федерации на реализацию мероприятий, направленных на создание (развитие) инфраструктуры в целях реализации нового инвестиционного проекта, до его включения в сводный перечень при условии наличия соглашения о намерениях в сферах, предусмотренных  настоящих Правил.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(п. 6(1) введен </w:t>
      </w:r>
      <w:hyperlink r:id="rId68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18.09.2024 N 1277)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bookmarkStart w:id="6" w:name="Par109"/>
      <w:bookmarkEnd w:id="6"/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7. По результатам оценки Министерством экономического развития Российской Федерации, Министерством финансов Российской Федерации, заинтересованными федеральными органами исполнительной власти совместно с исполнительными органами субъектов Российской Федерации соответствия новых инвестиционных проектов критериям отбора новых инвестиционных проектов в соответствии с  настоящих Правил сводный перечень подлежит направлению Министерством экономического развития Российской Федерации в президиум (штаб) Правительственной комиссии по региональному развитию в Российской Федерации (далее - штаб) не позднее 30 рабочих дней со дня поступления предложений, указанных в  настоящих Правил, для его последующего рассмотрения на заседании штаба и принятия штабом решения о его одобрении.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(в ред. Постановлений Правительства РФ от 27.05.2021 </w:t>
      </w:r>
      <w:hyperlink r:id="rId69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801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, от 09.12.2022 </w:t>
      </w:r>
      <w:hyperlink r:id="rId70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N 2272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После одобрения штабом </w:t>
      </w:r>
      <w:hyperlink r:id="rId7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сводный перечень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подлежит утверждению актом Министерства экономического развития Российской Федерации.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(абзац введен </w:t>
      </w:r>
      <w:hyperlink r:id="rId72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27.05.2021 N 801)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Предложения, указанные в  настоящих Правил, не предусматривающие включения в сводный перечень и (или) исключения из него новых инвестиционных проектов, подлежат согласованию Министерством финансов Российской Федерации и заинтересованными федеральными органами исполнительной власти, а сводный перечень подлежит утверждению актом Министерства экономического развития Российской Федерации без рассмотрения на заседании штаба и принятия штабом решения о его одобрении.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(абзац введен </w:t>
      </w:r>
      <w:hyperlink r:id="rId73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22.04.2025 N 528)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7(1). Министерство экономического развития Российской Федерации после утверждения сводного перечня заключает с уполномоченными исполнительными органами субъектов Российской Федерации соглашения о реализации новых инвестиционных проектов, включенных в сводный перечень, в соответствии с </w:t>
      </w:r>
      <w:hyperlink r:id="rId74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формой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, определяемой Министерством экономического развития Российской Федерации, в том числе содержащей сроки заключения указанных соглашений, порядок внесения в них изменений (заключения дополнительных соглашений), форму и периодичность представления отчетности, обязанности и ответственность сторон.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(п. 7(1) введен </w:t>
      </w:r>
      <w:hyperlink r:id="rId75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27.05.2021 N 801; в ред. </w:t>
      </w:r>
      <w:hyperlink r:id="rId76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Постановления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09.12.2022 N 2272)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8. Утратил силу. - </w:t>
      </w:r>
      <w:hyperlink r:id="rId77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Постановление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22.04.2025 N 528.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bookmarkStart w:id="7" w:name="Par118"/>
      <w:bookmarkEnd w:id="7"/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9. Отчетность о реализации новых инвестиционных проектов по субъектам Российской Федерации направляется Министерством экономического развития Российской Федерации в штаб ежегодно, до 1 марта года, следующего за отчетным, до 1 марта 2029 г.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(п. 9 в ред. </w:t>
      </w:r>
      <w:hyperlink r:id="rId78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Постановления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22.04.2025 N 528)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10. Высшее должностное лицо субъекта Российской Федерации (председатель высшего исполнительного органа субъекта Российской Федерации) несет ответственность за достоверность и полноту сведений, содержащихся в документах, представляемых в Министерство экономического развития Российской Федерации в соответствии с настоящими Правилами.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(п. 10 введен </w:t>
      </w:r>
      <w:hyperlink r:id="rId79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27.05.2021 N 801; в ред. </w:t>
      </w:r>
      <w:hyperlink r:id="rId80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Постановления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09.12.2022 N 2272)</w:t>
      </w:r>
    </w:p>
    <w:p>
      <w:pPr>
        <w:pStyle w:val="Style_180"/>
        <w:spacing w:before="160" w:after="0" w:line="283" w:lineRule="atLeast"/>
        <w:ind w:left="0" w:firstLine="54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11. Реализация  и  -  настоящих Правил может быть осуществлена с использованием федеральной государственной информационной системы территориального планирования и усиленной квалифицированной электронной цифровой подписи.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(п. 11 введен </w:t>
      </w:r>
      <w:hyperlink r:id="rId81">
        <w:r>
          <w:rPr>
            <w:rFonts w:ascii="TimesNewRoman" w:hAnsi="TimesNewRoman" w:eastAsia="TimesNewRoman" w:cs="TimesNewRoman"/>
            <w:b w:val="0"/>
            <w:i w:val="0"/>
            <w:strike w:val="0"/>
            <w:color w:val="0000ff"/>
            <w:sz w:val="28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b w:val="0"/>
          <w:i w:val="0"/>
          <w:strike w:val="0"/>
          <w:sz w:val="28"/>
        </w:rPr>
        <w:t xml:space="preserve"> Правительства РФ от 18.03.2022 N 400)</w:t>
      </w: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80"/>
        <w:spacing w:before="0" w:after="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p>
      <w:pPr>
        <w:pStyle w:val="Style_180"/>
        <w:pBdr>
          <w:top w:val="single" w:color="000000" w:sz="4"/>
        </w:pBdr>
        <w:spacing w:before="100" w:after="100" w:line="283" w:lineRule="atLeast"/>
        <w:ind w:left="0" w:firstLine="0"/>
        <w:contextualSpacing/>
        <w:jc w:val="both"/>
        <w:rPr>
          <w:rFonts w:ascii="TimesNewRoman" w:hAnsi="TimesNewRoman" w:eastAsia="TimesNewRoman" w:cs="TimesNewRoman"/>
          <w:b w:val="0"/>
          <w:i w:val="0"/>
          <w:strike w:val="0"/>
          <w:sz w:val="28"/>
        </w:rPr>
      </w:pPr>
    </w:p>
    <w:sectPr>
      <w:type w:val="nextPage"/>
      <w:pgSz w:w="11906" w:h="16838"/>
      <w:pgMar w:top="1440" w:right="566" w:bottom="1440" w:left="1133" w:header="0" w:footer="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80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</w:p>
  </w:endnote>
  <w:endnote w:type="continuationSeparator" w:id="1">
    <w:p>
      <w:pPr>
        <w:pStyle w:val="Style_180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ahoma">
    <w:panose1 w:val="020B0604030504040204"/>
  </w:font>
  <w:font w:name="Courier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80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separator/>
      </w:r>
    </w:p>
  </w:footnote>
  <w:footnote w:type="continuationSeparator" w:id="1">
    <w:p>
      <w:pPr>
        <w:pStyle w:val="Style_180"/>
        <w:spacing w:before="0" w:after="0" w:line="240" w:lineRule="auto"/>
        <w:jc w:val="left"/>
        <w:rPr>
          <w:sz w:val="24"/>
        </w:rPr>
      </w:pPr>
      <w:r>
        <w:rPr>
          <w:rFonts w:ascii="Arial" w:hAnsi="Arial" w:eastAsia="Arial" w:cs="Arial"/>
          <w:sz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beneathText"/>
    <w:numStart w:val="1"/>
    <w:numRestart w:val="continuous"/>
    <w:footnote w:id="0"/>
    <w:footnote w:id="1"/>
  </w:footnotePr>
  <w:endnotePr>
    <w:pos w:val="sectEnd"/>
    <w:numStart w:val="1"/>
    <w:numRestart w:val="eachSect"/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>
    <w:name w:val="Normal"/>
    <w:qFormat/>
    <w:pPr>
      <w:spacing w:before="0" w:after="0" w:line="240" w:lineRule="auto"/>
      <w:jc w:val="left"/>
    </w:pPr>
    <w:rPr>
      <w:sz w:val="24"/>
    </w:rPr>
  </w:style>
  <w:style w:type="paragraph" w:styleId="Style_2">
    <w:name w:val="Heading 1"/>
    <w:basedOn w:val="Style_1"/>
    <w:qFormat/>
    <w:personalCompose/>
    <w:pPr>
      <w:keepNext/>
      <w:keepLines/>
      <w:spacing w:before="480" w:after="200" w:line="240" w:lineRule="auto"/>
      <w:jc w:val="left"/>
      <w:outlineLvl w:val="0"/>
    </w:pPr>
    <w:rPr>
      <w:rFonts w:ascii="Arial" w:hAnsi="Arial" w:eastAsia="Arial" w:cs="Arial"/>
      <w:sz w:val="40"/>
    </w:rPr>
  </w:style>
  <w:style w:type="character" w:styleId="Style_3">
    <w:name w:val="Heading 1 Char"/>
    <w:personalCompose/>
    <w:rPr>
      <w:rFonts w:ascii="Arial" w:hAnsi="Arial" w:eastAsia="Arial" w:cs="Arial"/>
      <w:sz w:val="40"/>
    </w:rPr>
  </w:style>
  <w:style w:type="paragraph" w:styleId="Style_4">
    <w:name w:val="Heading 2"/>
    <w:basedOn w:val="Style_1"/>
    <w:unhideWhenUsed/>
    <w:qFormat/>
    <w:personalCompose/>
    <w:pPr>
      <w:keepNext/>
      <w:keepLines/>
      <w:spacing w:before="360" w:after="200" w:line="240" w:lineRule="auto"/>
      <w:jc w:val="left"/>
      <w:outlineLvl w:val="1"/>
    </w:pPr>
    <w:rPr>
      <w:rFonts w:ascii="Arial" w:hAnsi="Arial" w:eastAsia="Arial" w:cs="Arial"/>
      <w:sz w:val="34"/>
    </w:rPr>
  </w:style>
  <w:style w:type="character" w:styleId="Style_5">
    <w:name w:val="Heading 2 Char"/>
    <w:personalCompose/>
    <w:rPr>
      <w:rFonts w:ascii="Arial" w:hAnsi="Arial" w:eastAsia="Arial" w:cs="Arial"/>
      <w:sz w:val="34"/>
    </w:rPr>
  </w:style>
  <w:style w:type="paragraph" w:styleId="Style_6">
    <w:name w:val="Heading 3"/>
    <w:basedOn w:val="Style_1"/>
    <w:unhideWhenUsed/>
    <w:qFormat/>
    <w:personalCompose/>
    <w:pPr>
      <w:keepNext/>
      <w:keepLines/>
      <w:spacing w:before="320" w:after="200" w:line="240" w:lineRule="auto"/>
      <w:jc w:val="left"/>
      <w:outlineLvl w:val="2"/>
    </w:pPr>
    <w:rPr>
      <w:rFonts w:ascii="Arial" w:hAnsi="Arial" w:eastAsia="Arial" w:cs="Arial"/>
      <w:sz w:val="30"/>
    </w:rPr>
  </w:style>
  <w:style w:type="character" w:styleId="Style_7">
    <w:name w:val="Heading 3 Char"/>
    <w:personalCompose/>
    <w:rPr>
      <w:rFonts w:ascii="Arial" w:hAnsi="Arial" w:eastAsia="Arial" w:cs="Arial"/>
      <w:sz w:val="30"/>
    </w:rPr>
  </w:style>
  <w:style w:type="paragraph" w:styleId="Style_8">
    <w:name w:val="Heading 4"/>
    <w:basedOn w:val="Style_1"/>
    <w:unhideWhenUsed/>
    <w:qFormat/>
    <w:personalCompose/>
    <w:pPr>
      <w:keepNext/>
      <w:keepLines/>
      <w:spacing w:before="320" w:after="200" w:line="240" w:lineRule="auto"/>
      <w:jc w:val="left"/>
      <w:outlineLvl w:val="3"/>
    </w:pPr>
    <w:rPr>
      <w:rFonts w:ascii="Arial" w:hAnsi="Arial" w:eastAsia="Arial" w:cs="Arial"/>
      <w:b/>
      <w:sz w:val="26"/>
    </w:rPr>
  </w:style>
  <w:style w:type="character" w:styleId="Style_9">
    <w:name w:val="Heading 4 Char"/>
    <w:personalCompose/>
    <w:rPr>
      <w:rFonts w:ascii="Arial" w:hAnsi="Arial" w:eastAsia="Arial" w:cs="Arial"/>
      <w:b/>
      <w:sz w:val="26"/>
    </w:rPr>
  </w:style>
  <w:style w:type="paragraph" w:styleId="Style_10">
    <w:name w:val="Heading 5"/>
    <w:basedOn w:val="Style_1"/>
    <w:unhideWhenUsed/>
    <w:qFormat/>
    <w:personalCompose/>
    <w:pPr>
      <w:keepNext/>
      <w:keepLines/>
      <w:spacing w:before="320" w:after="200" w:line="240" w:lineRule="auto"/>
      <w:jc w:val="left"/>
      <w:outlineLvl w:val="4"/>
    </w:pPr>
    <w:rPr>
      <w:rFonts w:ascii="Arial" w:hAnsi="Arial" w:eastAsia="Arial" w:cs="Arial"/>
      <w:b/>
      <w:sz w:val="24"/>
    </w:rPr>
  </w:style>
  <w:style w:type="character" w:styleId="Style_11">
    <w:name w:val="Heading 5 Char"/>
    <w:personalCompose/>
    <w:rPr>
      <w:rFonts w:ascii="Arial" w:hAnsi="Arial" w:eastAsia="Arial" w:cs="Arial"/>
      <w:b/>
      <w:sz w:val="24"/>
    </w:rPr>
  </w:style>
  <w:style w:type="paragraph" w:styleId="Style_12">
    <w:name w:val="Heading 6"/>
    <w:basedOn w:val="Style_1"/>
    <w:unhideWhenUsed/>
    <w:qFormat/>
    <w:personalCompose/>
    <w:pPr>
      <w:keepNext/>
      <w:keepLines/>
      <w:spacing w:before="320" w:after="200" w:line="240" w:lineRule="auto"/>
      <w:jc w:val="left"/>
      <w:outlineLvl w:val="5"/>
    </w:pPr>
    <w:rPr>
      <w:rFonts w:ascii="Arial" w:hAnsi="Arial" w:eastAsia="Arial" w:cs="Arial"/>
      <w:b/>
      <w:sz w:val="22"/>
    </w:rPr>
  </w:style>
  <w:style w:type="character" w:styleId="Style_13">
    <w:name w:val="Heading 6 Char"/>
    <w:personalCompose/>
    <w:rPr>
      <w:rFonts w:ascii="Arial" w:hAnsi="Arial" w:eastAsia="Arial" w:cs="Arial"/>
      <w:b/>
      <w:sz w:val="22"/>
    </w:rPr>
  </w:style>
  <w:style w:type="paragraph" w:styleId="Style_14">
    <w:name w:val="Heading 7"/>
    <w:basedOn w:val="Style_1"/>
    <w:unhideWhenUsed/>
    <w:qFormat/>
    <w:personalCompose/>
    <w:pPr>
      <w:keepNext/>
      <w:keepLines/>
      <w:spacing w:before="320" w:after="200" w:line="240" w:lineRule="auto"/>
      <w:jc w:val="left"/>
      <w:outlineLvl w:val="6"/>
    </w:pPr>
    <w:rPr>
      <w:rFonts w:ascii="Arial" w:hAnsi="Arial" w:eastAsia="Arial" w:cs="Arial"/>
      <w:b/>
      <w:i/>
      <w:sz w:val="22"/>
    </w:rPr>
  </w:style>
  <w:style w:type="character" w:styleId="Style_15">
    <w:name w:val="Heading 7 Char"/>
    <w:personalCompose/>
    <w:rPr>
      <w:rFonts w:ascii="Arial" w:hAnsi="Arial" w:eastAsia="Arial" w:cs="Arial"/>
      <w:b/>
      <w:i/>
      <w:sz w:val="22"/>
    </w:rPr>
  </w:style>
  <w:style w:type="paragraph" w:styleId="Style_16">
    <w:name w:val="Heading 8"/>
    <w:basedOn w:val="Style_1"/>
    <w:unhideWhenUsed/>
    <w:qFormat/>
    <w:personalCompose/>
    <w:pPr>
      <w:keepNext/>
      <w:keepLines/>
      <w:spacing w:before="320" w:after="200" w:line="240" w:lineRule="auto"/>
      <w:jc w:val="left"/>
      <w:outlineLvl w:val="7"/>
    </w:pPr>
    <w:rPr>
      <w:rFonts w:ascii="Arial" w:hAnsi="Arial" w:eastAsia="Arial" w:cs="Arial"/>
      <w:i/>
      <w:sz w:val="22"/>
    </w:rPr>
  </w:style>
  <w:style w:type="character" w:styleId="Style_17">
    <w:name w:val="Heading 8 Char"/>
    <w:personalCompose/>
    <w:rPr>
      <w:rFonts w:ascii="Arial" w:hAnsi="Arial" w:eastAsia="Arial" w:cs="Arial"/>
      <w:i/>
      <w:sz w:val="22"/>
    </w:rPr>
  </w:style>
  <w:style w:type="paragraph" w:styleId="Style_18">
    <w:name w:val="Heading 9"/>
    <w:basedOn w:val="Style_1"/>
    <w:unhideWhenUsed/>
    <w:qFormat/>
    <w:personalCompose/>
    <w:pPr>
      <w:keepNext/>
      <w:keepLines/>
      <w:spacing w:before="320" w:after="200" w:line="240" w:lineRule="auto"/>
      <w:jc w:val="left"/>
      <w:outlineLvl w:val="8"/>
    </w:pPr>
    <w:rPr>
      <w:rFonts w:ascii="Arial" w:hAnsi="Arial" w:eastAsia="Arial" w:cs="Arial"/>
      <w:i/>
      <w:sz w:val="21"/>
    </w:rPr>
  </w:style>
  <w:style w:type="character" w:styleId="Style_19">
    <w:name w:val="Heading 9 Char"/>
    <w:personalCompose/>
    <w:rPr>
      <w:rFonts w:ascii="Arial" w:hAnsi="Arial" w:eastAsia="Arial" w:cs="Arial"/>
      <w:i/>
      <w:sz w:val="21"/>
    </w:rPr>
  </w:style>
  <w:style w:type="paragraph" w:styleId="Style_20">
    <w:name w:val="List Paragraph"/>
    <w:basedOn w:val="Style_1"/>
    <w:qFormat/>
    <w:personalCompose/>
    <w:pPr>
      <w:spacing w:before="0" w:after="0" w:line="240" w:lineRule="auto"/>
      <w:ind w:left="720"/>
      <w:contextualSpacing/>
      <w:jc w:val="left"/>
    </w:pPr>
    <w:rPr>
      <w:rFonts w:ascii="Arial" w:hAnsi="Arial" w:eastAsia="Arial" w:cs="Arial"/>
      <w:sz w:val="24"/>
    </w:rPr>
  </w:style>
  <w:style w:type="paragraph" w:styleId="Style_21">
    <w:name w:val="No Spacing"/>
    <w:qFormat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22">
    <w:name w:val="Title"/>
    <w:basedOn w:val="Style_1"/>
    <w:qFormat/>
    <w:personalCompose/>
    <w:pPr>
      <w:spacing w:before="300" w:after="200" w:line="240" w:lineRule="auto"/>
      <w:contextualSpacing/>
      <w:jc w:val="left"/>
    </w:pPr>
    <w:rPr>
      <w:rFonts w:ascii="Arial" w:hAnsi="Arial" w:eastAsia="Arial" w:cs="Arial"/>
      <w:sz w:val="48"/>
    </w:rPr>
  </w:style>
  <w:style w:type="character" w:styleId="Style_23">
    <w:name w:val="Title Char"/>
    <w:personalCompose/>
    <w:rPr>
      <w:rFonts w:ascii="Arial" w:hAnsi="Arial" w:eastAsia="Arial" w:cs="Arial"/>
      <w:sz w:val="48"/>
    </w:rPr>
  </w:style>
  <w:style w:type="paragraph" w:styleId="Style_24">
    <w:name w:val="Subtitle"/>
    <w:basedOn w:val="Style_1"/>
    <w:qFormat/>
    <w:personalCompose/>
    <w:pPr>
      <w:spacing w:before="200" w:after="200" w:line="240" w:lineRule="auto"/>
      <w:jc w:val="left"/>
    </w:pPr>
    <w:rPr>
      <w:rFonts w:ascii="Arial" w:hAnsi="Arial" w:eastAsia="Arial" w:cs="Arial"/>
      <w:sz w:val="24"/>
    </w:rPr>
  </w:style>
  <w:style w:type="character" w:styleId="Style_25">
    <w:name w:val="Subtitle Char"/>
    <w:personalCompose/>
    <w:rPr>
      <w:rFonts w:ascii="Arial" w:hAnsi="Arial" w:eastAsia="Arial" w:cs="Arial"/>
      <w:sz w:val="24"/>
    </w:rPr>
  </w:style>
  <w:style w:type="paragraph" w:styleId="Style_26">
    <w:name w:val="Quote"/>
    <w:basedOn w:val="Style_1"/>
    <w:qFormat/>
    <w:personalCompose/>
    <w:pPr>
      <w:spacing w:before="0" w:after="0" w:line="240" w:lineRule="auto"/>
      <w:ind w:left="720"/>
      <w:jc w:val="left"/>
    </w:pPr>
    <w:rPr>
      <w:rFonts w:ascii="Arial" w:hAnsi="Arial" w:eastAsia="Arial" w:cs="Arial"/>
      <w:i/>
      <w:sz w:val="24"/>
    </w:rPr>
  </w:style>
  <w:style w:type="character" w:styleId="Style_27">
    <w:name w:val="Quote Char"/>
    <w:personalCompose/>
    <w:rPr>
      <w:rFonts w:ascii="Arial" w:hAnsi="Arial" w:eastAsia="Arial" w:cs="Arial"/>
      <w:i/>
      <w:sz w:val="24"/>
    </w:rPr>
  </w:style>
  <w:style w:type="paragraph" w:styleId="Style_28">
    <w:name w:val="Intense Quote"/>
    <w:basedOn w:val="Style_1"/>
    <w:qFormat/>
    <w:personalCompose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spacing w:before="0" w:after="0" w:line="240" w:lineRule="auto"/>
      <w:ind w:left="720"/>
      <w:contextualSpacing w:val="0"/>
      <w:jc w:val="left"/>
    </w:pPr>
    <w:rPr>
      <w:rFonts w:ascii="Arial" w:hAnsi="Arial" w:eastAsia="Arial" w:cs="Arial"/>
      <w:i/>
      <w:sz w:val="24"/>
    </w:rPr>
  </w:style>
  <w:style w:type="character" w:styleId="Style_29">
    <w:name w:val="Intense Quote Char"/>
    <w:personalCompose/>
    <w:rPr>
      <w:rFonts w:ascii="Arial" w:hAnsi="Arial" w:eastAsia="Arial" w:cs="Arial"/>
      <w:i/>
      <w:sz w:val="24"/>
    </w:rPr>
  </w:style>
  <w:style w:type="paragraph" w:styleId="Style_30">
    <w:name w:val="Header"/>
    <w:basedOn w:val="Style_1"/>
    <w:unhideWhenUsed/>
    <w:personalCompose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31">
    <w:name w:val="Header Char"/>
    <w:personalCompose/>
    <w:rPr>
      <w:rFonts w:ascii="Arial" w:hAnsi="Arial" w:eastAsia="Arial" w:cs="Arial"/>
      <w:sz w:val="24"/>
    </w:rPr>
  </w:style>
  <w:style w:type="paragraph" w:styleId="Style_32">
    <w:name w:val="Footer"/>
    <w:basedOn w:val="Style_1"/>
    <w:unhideWhenUsed/>
    <w:personalCompose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33">
    <w:name w:val="Footer Char"/>
    <w:personalCompose/>
    <w:rPr>
      <w:rFonts w:ascii="Arial" w:hAnsi="Arial" w:eastAsia="Arial" w:cs="Arial"/>
      <w:sz w:val="24"/>
    </w:rPr>
  </w:style>
  <w:style w:type="paragraph" w:styleId="Style_34">
    <w:name w:val="Caption"/>
    <w:basedOn w:val="Style_1"/>
    <w:semiHidden/>
    <w:unhideWhenUsed/>
    <w:qFormat/>
    <w:personalCompose/>
    <w:pPr>
      <w:spacing w:before="0" w:after="0" w:line="276" w:lineRule="auto"/>
      <w:jc w:val="left"/>
    </w:pPr>
    <w:rPr>
      <w:rFonts w:ascii="Arial" w:hAnsi="Arial" w:eastAsia="Arial" w:cs="Arial"/>
      <w:b/>
      <w:color w:val="4f81bd"/>
      <w:sz w:val="18"/>
    </w:rPr>
  </w:style>
  <w:style w:type="character" w:styleId="Style_35">
    <w:name w:val="Caption Char"/>
    <w:basedOn w:val="Style_34"/>
    <w:personalCompose/>
    <w:rPr>
      <w:rFonts w:ascii="Arial" w:hAnsi="Arial" w:eastAsia="Arial" w:cs="Arial"/>
      <w:sz w:val="24"/>
    </w:rPr>
  </w:style>
  <w:style w:type="table" w:styleId="Style_36">
    <w:name w:val="Table Grid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7">
    <w:name w:val="Table Grid Light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8">
    <w:name w:val="Plain Table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9">
    <w:name w:val="Plain Table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40">
    <w:name w:val="Plain Table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1">
    <w:name w:val="Plain Table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2">
    <w:name w:val="Plain Table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3">
    <w:name w:val="Grid Table 1 Light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4">
    <w:name w:val="Grid Table 1 Light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5">
    <w:name w:val="Grid Table 1 Light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6">
    <w:name w:val="Grid Table 1 Light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7">
    <w:name w:val="Grid Table 1 Light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8">
    <w:name w:val="Grid Table 1 Light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9">
    <w:name w:val="Grid Table 1 Light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0">
    <w:name w:val="Grid Table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1">
    <w:name w:val="Grid Table 2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2">
    <w:name w:val="Grid Table 2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3">
    <w:name w:val="Grid Table 2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4">
    <w:name w:val="Grid Table 2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5">
    <w:name w:val="Grid Table 2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6">
    <w:name w:val="Grid Table 2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7">
    <w:name w:val="Grid Table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8">
    <w:name w:val="Grid Table 3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9">
    <w:name w:val="Grid Table 3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0">
    <w:name w:val="Grid Table 3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1">
    <w:name w:val="Grid Table 3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2">
    <w:name w:val="Grid Table 3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3">
    <w:name w:val="Grid Table 3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4">
    <w:name w:val="Grid Table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5">
    <w:name w:val="Grid Table 4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6">
    <w:name w:val="Grid Table 4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7">
    <w:name w:val="Grid Table 4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8">
    <w:name w:val="Grid Table 4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9">
    <w:name w:val="Grid Table 4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0">
    <w:name w:val="Grid Table 4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1">
    <w:name w:val="Grid Table 5 Dark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Style_72">
    <w:name w:val="Grid Table 5 Dark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Style_73">
    <w:name w:val="Grid Table 5 Dark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Style_74">
    <w:name w:val="Grid Table 5 Dark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Style_75">
    <w:name w:val="Grid Table 5 Dark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Style_76">
    <w:name w:val="Grid Table 5 Dark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Style_77">
    <w:name w:val="Grid Table 5 Dark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Style_78">
    <w:name w:val="Grid Table 6 Colorful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Grid Table 6 Colorful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Grid Table 6 Colorful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Grid Table 6 Colorful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Grid Table 6 Colorful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Grid Table 6 Colorful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Grid Table 6 Colorful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Grid Table 7 Colorful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Grid Table 7 Colorful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Grid Table 7 Colorful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Grid Table 7 Colorful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Grid Table 7 Colorful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Grid Table 7 Colorful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Grid Table 7 Colorful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List Table 1 Light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List Table 1 Light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List Table 1 Light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List Table 1 Light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List Table 1 Light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List Table 1 Light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List Table 1 Light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List Table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List Table 2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List Table 2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2">
    <w:name w:val="List Table 2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3">
    <w:name w:val="List Table 2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4">
    <w:name w:val="List Table 2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5">
    <w:name w:val="List Table 2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6">
    <w:name w:val="List Table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7">
    <w:name w:val="List Table 3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8">
    <w:name w:val="List Table 3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List Table 3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0">
    <w:name w:val="List Table 3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1">
    <w:name w:val="List Table 3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2">
    <w:name w:val="List Table 3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3">
    <w:name w:val="List Table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4">
    <w:name w:val="List Table 4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5">
    <w:name w:val="List Table 4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6">
    <w:name w:val="List Table 4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7">
    <w:name w:val="List Table 4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8">
    <w:name w:val="List Table 4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9">
    <w:name w:val="List Table 4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0">
    <w:name w:val="List Table 5 Dark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Style_121">
    <w:name w:val="List Table 5 Dark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Style_122">
    <w:name w:val="List Table 5 Dark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Style_123">
    <w:name w:val="List Table 5 Dark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Style_124">
    <w:name w:val="List Table 5 Dark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Style_125">
    <w:name w:val="List Table 5 Dark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Style_126">
    <w:name w:val="List Table 5 Dark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Style_127">
    <w:name w:val="List Table 6 Colorful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st Table 6 Colorful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List Table 6 Colorful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List Table 6 Colorful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List Table 6 Colorful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List Table 6 Colorful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List Table 6 Colorful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List Table 7 Colorful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List Table 7 Colorful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List Table 7 Colorful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List Table 7 Colorful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List Table 7 Colorful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List Table 7 Colorful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List Table 7 Colorful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Lined - Accent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Lined - Accent 1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3">
    <w:name w:val="Lined - Accent 2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4">
    <w:name w:val="Lined - Accent 3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5">
    <w:name w:val="Lined - Accent 4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6">
    <w:name w:val="Lined - Accent 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7">
    <w:name w:val="Lined - Accent 6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8">
    <w:name w:val="Bordered &amp; Lined - Accent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9">
    <w:name w:val="Bordered &amp; Lined - Accent 1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0">
    <w:name w:val="Bordered &amp; Lined - Accent 2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1">
    <w:name w:val="Bordered &amp; Lined - Accent 3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2">
    <w:name w:val="Bordered &amp; Lined - Accent 4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3">
    <w:name w:val="Bordered &amp; Lined - Accent 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4">
    <w:name w:val="Bordered &amp; Lined - Accent 6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5">
    <w:name w:val="Bordered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6">
    <w:name w:val="Bordered - Accent 1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7">
    <w:name w:val="Bordered - Accent 2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8">
    <w:name w:val="Bordered - Accent 3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9">
    <w:name w:val="Bordered - Accent 4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60">
    <w:name w:val="Bordered - Accent 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61">
    <w:name w:val="Bordered - Accent 6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character" w:styleId="Style_162">
    <w:name w:val="Hyperlink"/>
    <w:unhideWhenUsed/>
    <w:personalCompose/>
    <w:rPr>
      <w:rFonts w:ascii="Arial" w:hAnsi="Arial" w:eastAsia="Arial" w:cs="Arial"/>
      <w:color w:val="0000ff"/>
      <w:sz w:val="24"/>
      <w:u w:val="single"/>
    </w:rPr>
  </w:style>
  <w:style w:type="paragraph" w:styleId="Style_163">
    <w:name w:val="footnote text"/>
    <w:basedOn w:val="Style_1"/>
    <w:semiHidden/>
    <w:unhideWhenUsed/>
    <w:personalCompose/>
    <w:pPr>
      <w:spacing w:before="0" w:after="40" w:line="240" w:lineRule="auto"/>
      <w:jc w:val="left"/>
    </w:pPr>
    <w:rPr>
      <w:rFonts w:ascii="Arial" w:hAnsi="Arial" w:eastAsia="Arial" w:cs="Arial"/>
      <w:sz w:val="18"/>
    </w:rPr>
  </w:style>
  <w:style w:type="character" w:styleId="Style_164">
    <w:name w:val="Footnote Text Char"/>
    <w:personalCompose/>
    <w:rPr>
      <w:rFonts w:ascii="Arial" w:hAnsi="Arial" w:eastAsia="Arial" w:cs="Arial"/>
      <w:sz w:val="18"/>
    </w:rPr>
  </w:style>
  <w:style w:type="character" w:styleId="Style_165">
    <w:name w:val="footnote reference"/>
    <w:unhideWhenUsed/>
    <w:personalCompose/>
    <w:rPr>
      <w:rFonts w:ascii="Arial" w:hAnsi="Arial" w:eastAsia="Arial" w:cs="Arial"/>
      <w:sz w:val="24"/>
      <w:vertAlign w:val="superscript"/>
    </w:rPr>
  </w:style>
  <w:style w:type="paragraph" w:styleId="Style_166">
    <w:name w:val="endnote text"/>
    <w:basedOn w:val="Style_1"/>
    <w:semiHidden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0"/>
    </w:rPr>
  </w:style>
  <w:style w:type="character" w:styleId="Style_167">
    <w:name w:val="Endnote Text Char"/>
    <w:personalCompose/>
    <w:rPr>
      <w:rFonts w:ascii="Arial" w:hAnsi="Arial" w:eastAsia="Arial" w:cs="Arial"/>
      <w:sz w:val="20"/>
    </w:rPr>
  </w:style>
  <w:style w:type="character" w:styleId="Style_168">
    <w:name w:val="endnote reference"/>
    <w:semiHidden/>
    <w:unhideWhenUsed/>
    <w:personalCompose/>
    <w:rPr>
      <w:rFonts w:ascii="Arial" w:hAnsi="Arial" w:eastAsia="Arial" w:cs="Arial"/>
      <w:sz w:val="24"/>
      <w:vertAlign w:val="superscript"/>
    </w:rPr>
  </w:style>
  <w:style w:type="paragraph" w:styleId="Style_169">
    <w:name w:val="toc 1"/>
    <w:basedOn w:val="Style_1"/>
    <w:unhideWhenUsed/>
    <w:personalCompose/>
    <w:pPr>
      <w:spacing w:before="0" w:after="57" w:line="240" w:lineRule="auto"/>
      <w:ind w:left="0" w:firstLine="0"/>
      <w:jc w:val="left"/>
    </w:pPr>
    <w:rPr>
      <w:rFonts w:ascii="Arial" w:hAnsi="Arial" w:eastAsia="Arial" w:cs="Arial"/>
      <w:sz w:val="24"/>
    </w:rPr>
  </w:style>
  <w:style w:type="paragraph" w:styleId="Style_170">
    <w:name w:val="toc 2"/>
    <w:basedOn w:val="Style_1"/>
    <w:unhideWhenUsed/>
    <w:personalCompose/>
    <w:pPr>
      <w:spacing w:before="0" w:after="57" w:line="240" w:lineRule="auto"/>
      <w:ind w:left="283" w:firstLine="0"/>
      <w:jc w:val="left"/>
    </w:pPr>
    <w:rPr>
      <w:rFonts w:ascii="Arial" w:hAnsi="Arial" w:eastAsia="Arial" w:cs="Arial"/>
      <w:sz w:val="24"/>
    </w:rPr>
  </w:style>
  <w:style w:type="paragraph" w:styleId="Style_171">
    <w:name w:val="toc 3"/>
    <w:basedOn w:val="Style_1"/>
    <w:unhideWhenUsed/>
    <w:personalCompose/>
    <w:pPr>
      <w:spacing w:before="0" w:after="57" w:line="240" w:lineRule="auto"/>
      <w:ind w:left="567" w:firstLine="0"/>
      <w:jc w:val="left"/>
    </w:pPr>
    <w:rPr>
      <w:rFonts w:ascii="Arial" w:hAnsi="Arial" w:eastAsia="Arial" w:cs="Arial"/>
      <w:sz w:val="24"/>
    </w:rPr>
  </w:style>
  <w:style w:type="paragraph" w:styleId="Style_172">
    <w:name w:val="toc 4"/>
    <w:basedOn w:val="Style_1"/>
    <w:unhideWhenUsed/>
    <w:personalCompose/>
    <w:pPr>
      <w:spacing w:before="0" w:after="57" w:line="240" w:lineRule="auto"/>
      <w:ind w:left="850" w:firstLine="0"/>
      <w:jc w:val="left"/>
    </w:pPr>
    <w:rPr>
      <w:rFonts w:ascii="Arial" w:hAnsi="Arial" w:eastAsia="Arial" w:cs="Arial"/>
      <w:sz w:val="24"/>
    </w:rPr>
  </w:style>
  <w:style w:type="paragraph" w:styleId="Style_173">
    <w:name w:val="toc 5"/>
    <w:basedOn w:val="Style_1"/>
    <w:unhideWhenUsed/>
    <w:personalCompose/>
    <w:pPr>
      <w:spacing w:before="0" w:after="57" w:line="240" w:lineRule="auto"/>
      <w:ind w:left="1134" w:firstLine="0"/>
      <w:jc w:val="left"/>
    </w:pPr>
    <w:rPr>
      <w:rFonts w:ascii="Arial" w:hAnsi="Arial" w:eastAsia="Arial" w:cs="Arial"/>
      <w:sz w:val="24"/>
    </w:rPr>
  </w:style>
  <w:style w:type="paragraph" w:styleId="Style_174">
    <w:name w:val="toc 6"/>
    <w:basedOn w:val="Style_1"/>
    <w:unhideWhenUsed/>
    <w:personalCompose/>
    <w:pPr>
      <w:spacing w:before="0" w:after="57" w:line="240" w:lineRule="auto"/>
      <w:ind w:left="1417" w:firstLine="0"/>
      <w:jc w:val="left"/>
    </w:pPr>
    <w:rPr>
      <w:rFonts w:ascii="Arial" w:hAnsi="Arial" w:eastAsia="Arial" w:cs="Arial"/>
      <w:sz w:val="24"/>
    </w:rPr>
  </w:style>
  <w:style w:type="paragraph" w:styleId="Style_175">
    <w:name w:val="toc 7"/>
    <w:basedOn w:val="Style_1"/>
    <w:unhideWhenUsed/>
    <w:personalCompose/>
    <w:pPr>
      <w:spacing w:before="0" w:after="57" w:line="240" w:lineRule="auto"/>
      <w:ind w:left="1701" w:firstLine="0"/>
      <w:jc w:val="left"/>
    </w:pPr>
    <w:rPr>
      <w:rFonts w:ascii="Arial" w:hAnsi="Arial" w:eastAsia="Arial" w:cs="Arial"/>
      <w:sz w:val="24"/>
    </w:rPr>
  </w:style>
  <w:style w:type="paragraph" w:styleId="Style_176">
    <w:name w:val="toc 8"/>
    <w:basedOn w:val="Style_1"/>
    <w:unhideWhenUsed/>
    <w:personalCompose/>
    <w:pPr>
      <w:spacing w:before="0" w:after="57" w:line="240" w:lineRule="auto"/>
      <w:ind w:left="1984" w:firstLine="0"/>
      <w:jc w:val="left"/>
    </w:pPr>
    <w:rPr>
      <w:rFonts w:ascii="Arial" w:hAnsi="Arial" w:eastAsia="Arial" w:cs="Arial"/>
      <w:sz w:val="24"/>
    </w:rPr>
  </w:style>
  <w:style w:type="paragraph" w:styleId="Style_177">
    <w:name w:val="toc 9"/>
    <w:basedOn w:val="Style_1"/>
    <w:unhideWhenUsed/>
    <w:personalCompose/>
    <w:pPr>
      <w:spacing w:before="0" w:after="57" w:line="240" w:lineRule="auto"/>
      <w:ind w:left="2268" w:firstLine="0"/>
      <w:jc w:val="left"/>
    </w:pPr>
    <w:rPr>
      <w:rFonts w:ascii="Arial" w:hAnsi="Arial" w:eastAsia="Arial" w:cs="Arial"/>
      <w:sz w:val="24"/>
    </w:rPr>
  </w:style>
  <w:style w:type="paragraph" w:styleId="Style_178">
    <w:name w:val="TOC Heading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9">
    <w:name w:val="table of figures"/>
    <w:basedOn w:val="Style_1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80">
    <w:name w:val="       ConsPlusNormal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16"/>
    </w:rPr>
  </w:style>
  <w:style w:type="paragraph" w:styleId="Style_181">
    <w:name w:val="       ConsPlusNonformat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Style_182">
    <w:name w:val="       ConsPlusTitle"/>
    <w:pPr>
      <w:spacing w:before="0" w:after="0" w:line="240" w:lineRule="auto"/>
      <w:jc w:val="left"/>
    </w:pPr>
    <w:rPr>
      <w:rFonts w:ascii="Arial" w:hAnsi="Arial" w:eastAsia="Arial" w:cs="Arial"/>
      <w:b/>
      <w:i w:val="0"/>
      <w:strike w:val="0"/>
      <w:sz w:val="16"/>
    </w:rPr>
  </w:style>
  <w:style w:type="paragraph" w:styleId="Style_183">
    <w:name w:val="       ConsPlusCell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20"/>
    </w:rPr>
  </w:style>
  <w:style w:type="paragraph" w:styleId="Style_184">
    <w:name w:val="       ConsPlusDocList"/>
    <w:pPr>
      <w:spacing w:before="0" w:after="0" w:line="240" w:lineRule="auto"/>
      <w:jc w:val="left"/>
    </w:pPr>
    <w:rPr>
      <w:rFonts w:ascii="CourierNew" w:hAnsi="CourierNew" w:eastAsia="CourierNew" w:cs="CourierNew"/>
      <w:b w:val="0"/>
      <w:i w:val="0"/>
      <w:strike w:val="0"/>
      <w:sz w:val="16"/>
    </w:rPr>
  </w:style>
  <w:style w:type="paragraph" w:styleId="Style_185">
    <w:name w:val="       ConsPlusTitlePage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Style_186">
    <w:name w:val="       ConsPlusJurTerm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6"/>
    </w:rPr>
  </w:style>
  <w:style w:type="paragraph" w:styleId="Style_187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  <w:style w:type="paragraph" w:styleId="Style_188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  <w:style w:type="character" w:styleId="Style_189">
    <w:name w:val="Default Paragraph Font"/>
    <w:semiHidden/>
    <w:unhideWhenUsed/>
    <w:personalCompose/>
    <w:rPr>
      <w:rFonts w:ascii="Arial" w:hAnsi="Arial" w:eastAsia="Arial" w:cs="Arial"/>
      <w:sz w:val="24"/>
    </w:rPr>
  </w:style>
  <w:style w:type="table" w:styleId="Style_190">
    <w:name w:val="Normal Table"/>
    <w:semiHidden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03947&amp;dst=100005" TargetMode="External"/><Relationship Id="rId9" Type="http://schemas.openxmlformats.org/officeDocument/2006/relationships/hyperlink" Target="https://login.consultant.ru/link/?req=doc&amp;base=LAW&amp;n=396539&amp;dst=100005" TargetMode="External"/><Relationship Id="rId10" Type="http://schemas.openxmlformats.org/officeDocument/2006/relationships/hyperlink" Target="https://login.consultant.ru/link/?req=doc&amp;base=LAW&amp;n=498050&amp;dst=100030" TargetMode="External"/><Relationship Id="rId11" Type="http://schemas.openxmlformats.org/officeDocument/2006/relationships/hyperlink" Target="https://login.consultant.ru/link/?req=doc&amp;base=LAW&amp;n=498115&amp;dst=100028" TargetMode="External"/><Relationship Id="rId12" Type="http://schemas.openxmlformats.org/officeDocument/2006/relationships/hyperlink" Target="https://login.consultant.ru/link/?req=doc&amp;base=LAW&amp;n=503946&amp;dst=100189" TargetMode="External"/><Relationship Id="rId13" Type="http://schemas.openxmlformats.org/officeDocument/2006/relationships/hyperlink" Target="https://login.consultant.ru/link/?req=doc&amp;base=LAW&amp;n=452844&amp;dst=100005" TargetMode="External"/><Relationship Id="rId14" Type="http://schemas.openxmlformats.org/officeDocument/2006/relationships/hyperlink" Target="https://login.consultant.ru/link/?req=doc&amp;base=LAW&amp;n=470348&amp;dst=100005" TargetMode="External"/><Relationship Id="rId15" Type="http://schemas.openxmlformats.org/officeDocument/2006/relationships/hyperlink" Target="https://login.consultant.ru/link/?req=doc&amp;base=LAW&amp;n=498056&amp;dst=100011" TargetMode="External"/><Relationship Id="rId16" Type="http://schemas.openxmlformats.org/officeDocument/2006/relationships/hyperlink" Target="https://login.consultant.ru/link/?req=doc&amp;base=LAW&amp;n=503857&amp;dst=100005" TargetMode="External"/><Relationship Id="rId17" Type="http://schemas.openxmlformats.org/officeDocument/2006/relationships/hyperlink" Target="https://login.consultant.ru/link/?req=doc&amp;base=LAW&amp;n=348014&amp;dst=100244" TargetMode="External"/><Relationship Id="rId18" Type="http://schemas.openxmlformats.org/officeDocument/2006/relationships/hyperlink" Target="https://login.consultant.ru/link/?req=doc&amp;base=LAW&amp;n=498050&amp;dst=100033" TargetMode="External"/><Relationship Id="rId19" Type="http://schemas.openxmlformats.org/officeDocument/2006/relationships/hyperlink" Target="https://login.consultant.ru/link/?req=doc&amp;base=LAW&amp;n=503947&amp;dst=100005" TargetMode="External"/><Relationship Id="rId20" Type="http://schemas.openxmlformats.org/officeDocument/2006/relationships/hyperlink" Target="https://login.consultant.ru/link/?req=doc&amp;base=LAW&amp;n=396539&amp;dst=100005" TargetMode="External"/><Relationship Id="rId21" Type="http://schemas.openxmlformats.org/officeDocument/2006/relationships/hyperlink" Target="https://login.consultant.ru/link/?req=doc&amp;base=LAW&amp;n=498050&amp;dst=100034" TargetMode="External"/><Relationship Id="rId22" Type="http://schemas.openxmlformats.org/officeDocument/2006/relationships/hyperlink" Target="https://login.consultant.ru/link/?req=doc&amp;base=LAW&amp;n=498115&amp;dst=100028" TargetMode="External"/><Relationship Id="rId23" Type="http://schemas.openxmlformats.org/officeDocument/2006/relationships/hyperlink" Target="https://login.consultant.ru/link/?req=doc&amp;base=LAW&amp;n=503946&amp;dst=100189" TargetMode="External"/><Relationship Id="rId24" Type="http://schemas.openxmlformats.org/officeDocument/2006/relationships/hyperlink" Target="https://login.consultant.ru/link/?req=doc&amp;base=LAW&amp;n=452844&amp;dst=100005" TargetMode="External"/><Relationship Id="rId25" Type="http://schemas.openxmlformats.org/officeDocument/2006/relationships/hyperlink" Target="https://login.consultant.ru/link/?req=doc&amp;base=LAW&amp;n=470348&amp;dst=100005" TargetMode="External"/><Relationship Id="rId26" Type="http://schemas.openxmlformats.org/officeDocument/2006/relationships/hyperlink" Target="https://login.consultant.ru/link/?req=doc&amp;base=LAW&amp;n=498056&amp;dst=100011" TargetMode="External"/><Relationship Id="rId27" Type="http://schemas.openxmlformats.org/officeDocument/2006/relationships/hyperlink" Target="https://login.consultant.ru/link/?req=doc&amp;base=LAW&amp;n=503857&amp;dst=100005" TargetMode="External"/><Relationship Id="rId28" Type="http://schemas.openxmlformats.org/officeDocument/2006/relationships/hyperlink" Target="https://login.consultant.ru/link/?req=doc&amp;base=LAW&amp;n=498050&amp;dst=100038" TargetMode="External"/><Relationship Id="rId29" Type="http://schemas.openxmlformats.org/officeDocument/2006/relationships/hyperlink" Target="https://login.consultant.ru/link/?req=doc&amp;base=LAW&amp;n=452844&amp;dst=100010" TargetMode="External"/><Relationship Id="rId30" Type="http://schemas.openxmlformats.org/officeDocument/2006/relationships/hyperlink" Target="https://login.consultant.ru/link/?req=doc&amp;base=LAW&amp;n=348014&amp;dst=100240" TargetMode="External"/><Relationship Id="rId31" Type="http://schemas.openxmlformats.org/officeDocument/2006/relationships/hyperlink" Target="https://login.consultant.ru/link/?req=doc&amp;base=LAW&amp;n=402003&amp;dst=100117" TargetMode="External"/><Relationship Id="rId32" Type="http://schemas.openxmlformats.org/officeDocument/2006/relationships/hyperlink" Target="https://login.consultant.ru/link/?req=doc&amp;base=LAW&amp;n=454088&amp;dst=100309" TargetMode="External"/><Relationship Id="rId33" Type="http://schemas.openxmlformats.org/officeDocument/2006/relationships/hyperlink" Target="https://login.consultant.ru/link/?req=doc&amp;base=LAW&amp;n=498060&amp;dst=47" TargetMode="External"/><Relationship Id="rId34" Type="http://schemas.openxmlformats.org/officeDocument/2006/relationships/hyperlink" Target="https://login.consultant.ru/link/?req=doc&amp;base=LAW&amp;n=498041&amp;dst=100058" TargetMode="External"/><Relationship Id="rId35" Type="http://schemas.openxmlformats.org/officeDocument/2006/relationships/hyperlink" Target="https://login.consultant.ru/link/?req=doc&amp;base=LAW&amp;n=498044&amp;dst=100024" TargetMode="External"/><Relationship Id="rId36" Type="http://schemas.openxmlformats.org/officeDocument/2006/relationships/hyperlink" Target="https://login.consultant.ru/link/?req=doc&amp;base=LAW&amp;n=498048&amp;dst=100031" TargetMode="External"/><Relationship Id="rId37" Type="http://schemas.openxmlformats.org/officeDocument/2006/relationships/hyperlink" Target="https://login.consultant.ru/link/?req=doc&amp;base=LAW&amp;n=396539&amp;dst=100005" TargetMode="External"/><Relationship Id="rId38" Type="http://schemas.openxmlformats.org/officeDocument/2006/relationships/hyperlink" Target="https://login.consultant.ru/link/?req=doc&amp;base=LAW&amp;n=498050&amp;dst=100039" TargetMode="External"/><Relationship Id="rId39" Type="http://schemas.openxmlformats.org/officeDocument/2006/relationships/hyperlink" Target="https://login.consultant.ru/link/?req=doc&amp;base=LAW&amp;n=498115&amp;dst=100028" TargetMode="External"/><Relationship Id="rId40" Type="http://schemas.openxmlformats.org/officeDocument/2006/relationships/hyperlink" Target="https://login.consultant.ru/link/?req=doc&amp;base=LAW&amp;n=452844&amp;dst=100011" TargetMode="External"/><Relationship Id="rId41" Type="http://schemas.openxmlformats.org/officeDocument/2006/relationships/hyperlink" Target="https://login.consultant.ru/link/?req=doc&amp;base=LAW&amp;n=452844&amp;dst=100012" TargetMode="External"/><Relationship Id="rId42" Type="http://schemas.openxmlformats.org/officeDocument/2006/relationships/hyperlink" Target="https://login.consultant.ru/link/?req=doc&amp;base=LAW&amp;n=480786" TargetMode="External"/><Relationship Id="rId43" Type="http://schemas.openxmlformats.org/officeDocument/2006/relationships/hyperlink" Target="https://login.consultant.ru/link/?req=doc&amp;base=LAW&amp;n=503947&amp;dst=100011" TargetMode="External"/><Relationship Id="rId44" Type="http://schemas.openxmlformats.org/officeDocument/2006/relationships/hyperlink" Target="https://login.consultant.ru/link/?req=doc&amp;base=LAW&amp;n=452844&amp;dst=100013" TargetMode="External"/><Relationship Id="rId45" Type="http://schemas.openxmlformats.org/officeDocument/2006/relationships/hyperlink" Target="https://login.consultant.ru/link/?req=doc&amp;base=LAW&amp;n=470348&amp;dst=100009" TargetMode="External"/><Relationship Id="rId46" Type="http://schemas.openxmlformats.org/officeDocument/2006/relationships/hyperlink" Target="https://login.consultant.ru/link/?req=doc&amp;base=LAW&amp;n=428211&amp;dst=100291" TargetMode="External"/><Relationship Id="rId47" Type="http://schemas.openxmlformats.org/officeDocument/2006/relationships/hyperlink" Target="https://login.consultant.ru/link/?req=doc&amp;base=LAW&amp;n=503947&amp;dst=100012" TargetMode="External"/><Relationship Id="rId48" Type="http://schemas.openxmlformats.org/officeDocument/2006/relationships/hyperlink" Target="https://login.consultant.ru/link/?req=doc&amp;base=LAW&amp;n=503947&amp;dst=100014" TargetMode="External"/><Relationship Id="rId49" Type="http://schemas.openxmlformats.org/officeDocument/2006/relationships/hyperlink" Target="https://login.consultant.ru/link/?req=doc&amp;base=LAW&amp;n=503947&amp;dst=100015" TargetMode="External"/><Relationship Id="rId50" Type="http://schemas.openxmlformats.org/officeDocument/2006/relationships/hyperlink" Target="https://login.consultant.ru/link/?req=doc&amp;base=LAW&amp;n=470348&amp;dst=100012" TargetMode="External"/><Relationship Id="rId51" Type="http://schemas.openxmlformats.org/officeDocument/2006/relationships/hyperlink" Target="https://login.consultant.ru/link/?req=doc&amp;base=LAW&amp;n=452844&amp;dst=100014" TargetMode="External"/><Relationship Id="rId52" Type="http://schemas.openxmlformats.org/officeDocument/2006/relationships/hyperlink" Target="https://login.consultant.ru/link/?req=doc&amp;base=LAW&amp;n=348014&amp;dst=100240" TargetMode="External"/><Relationship Id="rId53" Type="http://schemas.openxmlformats.org/officeDocument/2006/relationships/hyperlink" Target="https://login.consultant.ru/link/?req=doc&amp;base=LAW&amp;n=498050&amp;dst=100042" TargetMode="External"/><Relationship Id="rId54" Type="http://schemas.openxmlformats.org/officeDocument/2006/relationships/hyperlink" Target="https://login.consultant.ru/link/?req=doc&amp;base=LAW&amp;n=503946&amp;dst=100190" TargetMode="External"/><Relationship Id="rId55" Type="http://schemas.openxmlformats.org/officeDocument/2006/relationships/hyperlink" Target="https://login.consultant.ru/link/?req=doc&amp;base=LAW&amp;n=503947&amp;dst=100020" TargetMode="External"/><Relationship Id="rId56" Type="http://schemas.openxmlformats.org/officeDocument/2006/relationships/hyperlink" Target="https://login.consultant.ru/link/?req=doc&amp;base=LAW&amp;n=503946&amp;dst=100190" TargetMode="External"/><Relationship Id="rId57" Type="http://schemas.openxmlformats.org/officeDocument/2006/relationships/hyperlink" Target="https://login.consultant.ru/link/?req=doc&amp;base=LAW&amp;n=503857&amp;dst=100010" TargetMode="External"/><Relationship Id="rId58" Type="http://schemas.openxmlformats.org/officeDocument/2006/relationships/hyperlink" Target="https://login.consultant.ru/link/?req=doc&amp;base=LAW&amp;n=498050&amp;dst=100044" TargetMode="External"/><Relationship Id="rId59" Type="http://schemas.openxmlformats.org/officeDocument/2006/relationships/hyperlink" Target="https://login.consultant.ru/link/?req=doc&amp;base=LAW&amp;n=452844&amp;dst=100017" TargetMode="External"/><Relationship Id="rId60" Type="http://schemas.openxmlformats.org/officeDocument/2006/relationships/hyperlink" Target="https://login.consultant.ru/link/?req=doc&amp;base=LAW&amp;n=503620&amp;dst=6454" TargetMode="External"/><Relationship Id="rId61" Type="http://schemas.openxmlformats.org/officeDocument/2006/relationships/hyperlink" Target="https://login.consultant.ru/link/?req=doc&amp;base=LAW&amp;n=498050&amp;dst=100045" TargetMode="External"/><Relationship Id="rId62" Type="http://schemas.openxmlformats.org/officeDocument/2006/relationships/hyperlink" Target="https://login.consultant.ru/link/?req=doc&amp;base=LAW&amp;n=503946&amp;dst=100191" TargetMode="External"/><Relationship Id="rId63" Type="http://schemas.openxmlformats.org/officeDocument/2006/relationships/hyperlink" Target="https://login.consultant.ru/link/?req=doc&amp;base=LAW&amp;n=422649&amp;dst=100010" TargetMode="External"/><Relationship Id="rId64" Type="http://schemas.openxmlformats.org/officeDocument/2006/relationships/hyperlink" Target="https://login.consultant.ru/link/?req=doc&amp;base=LAW&amp;n=498050&amp;dst=100046" TargetMode="External"/><Relationship Id="rId65" Type="http://schemas.openxmlformats.org/officeDocument/2006/relationships/hyperlink" Target="https://login.consultant.ru/link/?req=doc&amp;base=LAW&amp;n=480786" TargetMode="External"/><Relationship Id="rId66" Type="http://schemas.openxmlformats.org/officeDocument/2006/relationships/hyperlink" Target="https://login.consultant.ru/link/?req=doc&amp;base=LAW&amp;n=470348&amp;dst=100014" TargetMode="External"/><Relationship Id="rId67" Type="http://schemas.openxmlformats.org/officeDocument/2006/relationships/hyperlink" Target="https://login.consultant.ru/link/?req=doc&amp;base=LAW&amp;n=503947&amp;dst=100021" TargetMode="External"/><Relationship Id="rId68" Type="http://schemas.openxmlformats.org/officeDocument/2006/relationships/hyperlink" Target="https://login.consultant.ru/link/?req=doc&amp;base=LAW&amp;n=498056&amp;dst=100011" TargetMode="External"/><Relationship Id="rId69" Type="http://schemas.openxmlformats.org/officeDocument/2006/relationships/hyperlink" Target="https://login.consultant.ru/link/?req=doc&amp;base=LAW&amp;n=503947&amp;dst=100026" TargetMode="External"/><Relationship Id="rId70" Type="http://schemas.openxmlformats.org/officeDocument/2006/relationships/hyperlink" Target="https://login.consultant.ru/link/?req=doc&amp;base=LAW&amp;n=503946&amp;dst=100194" TargetMode="External"/><Relationship Id="rId71" Type="http://schemas.openxmlformats.org/officeDocument/2006/relationships/hyperlink" Target="https://login.consultant.ru/link/?req=doc&amp;base=EXP&amp;n=826089" TargetMode="External"/><Relationship Id="rId72" Type="http://schemas.openxmlformats.org/officeDocument/2006/relationships/hyperlink" Target="https://login.consultant.ru/link/?req=doc&amp;base=LAW&amp;n=503947&amp;dst=100029" TargetMode="External"/><Relationship Id="rId73" Type="http://schemas.openxmlformats.org/officeDocument/2006/relationships/hyperlink" Target="https://login.consultant.ru/link/?req=doc&amp;base=LAW&amp;n=503857&amp;dst=100011" TargetMode="External"/><Relationship Id="rId74" Type="http://schemas.openxmlformats.org/officeDocument/2006/relationships/hyperlink" Target="https://login.consultant.ru/link/?req=doc&amp;base=LAW&amp;n=439022&amp;dst=100010" TargetMode="External"/><Relationship Id="rId75" Type="http://schemas.openxmlformats.org/officeDocument/2006/relationships/hyperlink" Target="https://login.consultant.ru/link/?req=doc&amp;base=LAW&amp;n=503947&amp;dst=100031" TargetMode="External"/><Relationship Id="rId76" Type="http://schemas.openxmlformats.org/officeDocument/2006/relationships/hyperlink" Target="https://login.consultant.ru/link/?req=doc&amp;base=LAW&amp;n=503946&amp;dst=100194" TargetMode="External"/><Relationship Id="rId77" Type="http://schemas.openxmlformats.org/officeDocument/2006/relationships/hyperlink" Target="https://login.consultant.ru/link/?req=doc&amp;base=LAW&amp;n=503857&amp;dst=100013" TargetMode="External"/><Relationship Id="rId78" Type="http://schemas.openxmlformats.org/officeDocument/2006/relationships/hyperlink" Target="https://login.consultant.ru/link/?req=doc&amp;base=LAW&amp;n=503857&amp;dst=100014" TargetMode="External"/><Relationship Id="rId79" Type="http://schemas.openxmlformats.org/officeDocument/2006/relationships/hyperlink" Target="https://login.consultant.ru/link/?req=doc&amp;base=LAW&amp;n=503947&amp;dst=100034" TargetMode="External"/><Relationship Id="rId80" Type="http://schemas.openxmlformats.org/officeDocument/2006/relationships/hyperlink" Target="https://login.consultant.ru/link/?req=doc&amp;base=LAW&amp;n=503946&amp;dst=100195" TargetMode="External"/><Relationship Id="rId81" Type="http://schemas.openxmlformats.org/officeDocument/2006/relationships/hyperlink" Target="https://login.consultant.ru/link/?req=doc&amp;base=LAW&amp;n=498050&amp;dst=10004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19.10.2020 N 1704(ред. от 22.04.2025)&amp;amp;quot;Об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 (или) результатов инженерных изысканий, </dc:title>
  <dc:creator/>
  <cp:lastModifiedBy/>
</cp:coreProperties>
</file>